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D561" w14:textId="5EBDC174" w:rsidR="008D6386" w:rsidRPr="00AA043D" w:rsidRDefault="0096264A" w:rsidP="00303D01">
      <w:pPr>
        <w:spacing w:after="120"/>
        <w:jc w:val="both"/>
        <w:rPr>
          <w:b/>
          <w:sz w:val="24"/>
          <w:szCs w:val="20"/>
        </w:rPr>
      </w:pPr>
      <w:r w:rsidRPr="00AA043D">
        <w:rPr>
          <w:b/>
          <w:sz w:val="24"/>
          <w:szCs w:val="20"/>
        </w:rPr>
        <w:t>Handelns utveckling 20</w:t>
      </w:r>
      <w:r w:rsidR="00923384" w:rsidRPr="00AA043D">
        <w:rPr>
          <w:b/>
          <w:sz w:val="24"/>
          <w:szCs w:val="20"/>
        </w:rPr>
        <w:t>2</w:t>
      </w:r>
      <w:r w:rsidR="00360C53">
        <w:rPr>
          <w:b/>
          <w:sz w:val="24"/>
          <w:szCs w:val="20"/>
        </w:rPr>
        <w:t>1</w:t>
      </w:r>
    </w:p>
    <w:p w14:paraId="6589AEAE" w14:textId="645C7B93" w:rsidR="00923384" w:rsidRDefault="00923384" w:rsidP="00303D01">
      <w:pPr>
        <w:spacing w:after="120" w:line="276" w:lineRule="auto"/>
        <w:jc w:val="both"/>
        <w:rPr>
          <w:szCs w:val="20"/>
        </w:rPr>
      </w:pPr>
      <w:r w:rsidRPr="00AA043D">
        <w:rPr>
          <w:szCs w:val="20"/>
        </w:rPr>
        <w:t xml:space="preserve">Under helåret </w:t>
      </w:r>
      <w:r w:rsidR="00360C53">
        <w:rPr>
          <w:szCs w:val="20"/>
        </w:rPr>
        <w:t>2021</w:t>
      </w:r>
      <w:r w:rsidRPr="00AA043D">
        <w:rPr>
          <w:szCs w:val="20"/>
        </w:rPr>
        <w:t xml:space="preserve"> växte detaljhandeln med </w:t>
      </w:r>
      <w:r w:rsidR="00871457">
        <w:rPr>
          <w:szCs w:val="20"/>
        </w:rPr>
        <w:t>6</w:t>
      </w:r>
      <w:r w:rsidRPr="00AA043D">
        <w:rPr>
          <w:szCs w:val="20"/>
        </w:rPr>
        <w:t>,</w:t>
      </w:r>
      <w:r w:rsidR="00FC1F75">
        <w:rPr>
          <w:szCs w:val="20"/>
        </w:rPr>
        <w:t>1</w:t>
      </w:r>
      <w:r w:rsidRPr="00AA043D">
        <w:rPr>
          <w:szCs w:val="20"/>
        </w:rPr>
        <w:t xml:space="preserve"> procent i löpande priser, vilket innebär att det är det 2</w:t>
      </w:r>
      <w:r w:rsidR="00341CE0">
        <w:rPr>
          <w:szCs w:val="20"/>
        </w:rPr>
        <w:t>5</w:t>
      </w:r>
      <w:r w:rsidRPr="00AA043D">
        <w:rPr>
          <w:szCs w:val="20"/>
        </w:rPr>
        <w:t xml:space="preserve">:e året i rad som branschen uppvisat en positiv försäljningstillväxt. </w:t>
      </w:r>
      <w:r w:rsidR="003418FC">
        <w:rPr>
          <w:szCs w:val="20"/>
        </w:rPr>
        <w:t>S</w:t>
      </w:r>
      <w:r w:rsidR="008C7EAC">
        <w:rPr>
          <w:szCs w:val="20"/>
        </w:rPr>
        <w:t>ällanköps</w:t>
      </w:r>
      <w:r w:rsidR="00F87AB9">
        <w:rPr>
          <w:szCs w:val="20"/>
        </w:rPr>
        <w:t>varu</w:t>
      </w:r>
      <w:r w:rsidR="008C7EAC">
        <w:rPr>
          <w:szCs w:val="20"/>
        </w:rPr>
        <w:t>handeln var den stora vinnaren med en utveckling på 9,</w:t>
      </w:r>
      <w:r w:rsidR="00D92801">
        <w:rPr>
          <w:szCs w:val="20"/>
        </w:rPr>
        <w:t>6</w:t>
      </w:r>
      <w:r w:rsidR="00691A45">
        <w:rPr>
          <w:szCs w:val="20"/>
        </w:rPr>
        <w:t xml:space="preserve"> procent. Möjligen</w:t>
      </w:r>
      <w:r w:rsidR="008C7EAC">
        <w:rPr>
          <w:szCs w:val="20"/>
        </w:rPr>
        <w:t xml:space="preserve"> </w:t>
      </w:r>
      <w:r w:rsidR="00053A97">
        <w:rPr>
          <w:szCs w:val="20"/>
        </w:rPr>
        <w:t xml:space="preserve">ett tecken på </w:t>
      </w:r>
      <w:r w:rsidR="00485CE5">
        <w:rPr>
          <w:szCs w:val="20"/>
        </w:rPr>
        <w:t>något utav en återhämtning från pandemiåret 2020</w:t>
      </w:r>
      <w:r w:rsidR="004B28CC">
        <w:rPr>
          <w:szCs w:val="20"/>
        </w:rPr>
        <w:t xml:space="preserve">. </w:t>
      </w:r>
      <w:r w:rsidR="00691A45">
        <w:rPr>
          <w:szCs w:val="20"/>
        </w:rPr>
        <w:t>Dagligvaruhandelns utveckling</w:t>
      </w:r>
      <w:r w:rsidR="004B28CC">
        <w:rPr>
          <w:szCs w:val="20"/>
        </w:rPr>
        <w:t xml:space="preserve"> var något </w:t>
      </w:r>
      <w:r w:rsidR="00691A45">
        <w:rPr>
          <w:szCs w:val="20"/>
        </w:rPr>
        <w:t xml:space="preserve">mindre på </w:t>
      </w:r>
      <w:r w:rsidR="00D92801">
        <w:rPr>
          <w:szCs w:val="20"/>
        </w:rPr>
        <w:t xml:space="preserve">1,2 </w:t>
      </w:r>
      <w:r w:rsidR="00BB4C42">
        <w:rPr>
          <w:szCs w:val="20"/>
        </w:rPr>
        <w:t>procent</w:t>
      </w:r>
      <w:r w:rsidR="00691A45">
        <w:rPr>
          <w:szCs w:val="20"/>
        </w:rPr>
        <w:t>.</w:t>
      </w:r>
    </w:p>
    <w:p w14:paraId="4CC13E53" w14:textId="4D03F3E1" w:rsidR="007F5B31" w:rsidRPr="00AA043D" w:rsidRDefault="007F5B31" w:rsidP="00303D01">
      <w:pPr>
        <w:spacing w:after="120" w:line="276" w:lineRule="auto"/>
        <w:jc w:val="both"/>
        <w:rPr>
          <w:szCs w:val="20"/>
        </w:rPr>
      </w:pPr>
      <w:r>
        <w:rPr>
          <w:szCs w:val="20"/>
        </w:rPr>
        <w:t>Dagligvaruhandeln</w:t>
      </w:r>
      <w:r w:rsidR="003418FC">
        <w:rPr>
          <w:szCs w:val="20"/>
        </w:rPr>
        <w:t xml:space="preserve">s </w:t>
      </w:r>
      <w:r>
        <w:rPr>
          <w:szCs w:val="20"/>
        </w:rPr>
        <w:t>utveckling</w:t>
      </w:r>
      <w:r w:rsidR="003418FC">
        <w:rPr>
          <w:szCs w:val="20"/>
        </w:rPr>
        <w:t xml:space="preserve"> har</w:t>
      </w:r>
      <w:r>
        <w:rPr>
          <w:szCs w:val="20"/>
        </w:rPr>
        <w:t xml:space="preserve"> gått ne</w:t>
      </w:r>
      <w:r w:rsidR="003418FC">
        <w:rPr>
          <w:szCs w:val="20"/>
        </w:rPr>
        <w:t>r</w:t>
      </w:r>
      <w:r>
        <w:rPr>
          <w:szCs w:val="20"/>
        </w:rPr>
        <w:t xml:space="preserve"> något från föregående år</w:t>
      </w:r>
      <w:r w:rsidR="00AC03E7">
        <w:rPr>
          <w:szCs w:val="20"/>
        </w:rPr>
        <w:t xml:space="preserve"> där tillväxten var 4,4 procent</w:t>
      </w:r>
      <w:r w:rsidR="00E917F8">
        <w:rPr>
          <w:szCs w:val="20"/>
        </w:rPr>
        <w:t>.</w:t>
      </w:r>
      <w:r w:rsidR="00AC03E7">
        <w:rPr>
          <w:szCs w:val="20"/>
        </w:rPr>
        <w:t xml:space="preserve"> </w:t>
      </w:r>
      <w:r w:rsidR="00D92801">
        <w:rPr>
          <w:szCs w:val="20"/>
        </w:rPr>
        <w:t xml:space="preserve">1,2 </w:t>
      </w:r>
      <w:r w:rsidR="00E917F8">
        <w:rPr>
          <w:szCs w:val="20"/>
        </w:rPr>
        <w:t>procent</w:t>
      </w:r>
      <w:r w:rsidR="00DE0643">
        <w:rPr>
          <w:szCs w:val="20"/>
        </w:rPr>
        <w:t xml:space="preserve"> är en något mer blygsam utveckling</w:t>
      </w:r>
      <w:r w:rsidR="00583749">
        <w:rPr>
          <w:szCs w:val="20"/>
        </w:rPr>
        <w:t xml:space="preserve"> och</w:t>
      </w:r>
      <w:r w:rsidR="0064307F">
        <w:rPr>
          <w:szCs w:val="20"/>
        </w:rPr>
        <w:t xml:space="preserve"> många månader</w:t>
      </w:r>
      <w:r w:rsidR="00583749">
        <w:rPr>
          <w:szCs w:val="20"/>
        </w:rPr>
        <w:t xml:space="preserve"> </w:t>
      </w:r>
      <w:r w:rsidR="0064307F">
        <w:rPr>
          <w:szCs w:val="20"/>
        </w:rPr>
        <w:t>ha</w:t>
      </w:r>
      <w:r w:rsidR="00DE0643">
        <w:rPr>
          <w:szCs w:val="20"/>
        </w:rPr>
        <w:t>de</w:t>
      </w:r>
      <w:r w:rsidR="0064307F">
        <w:rPr>
          <w:szCs w:val="20"/>
        </w:rPr>
        <w:t xml:space="preserve"> i jämförelse med 2020</w:t>
      </w:r>
      <w:r w:rsidR="00A17D14">
        <w:rPr>
          <w:szCs w:val="20"/>
        </w:rPr>
        <w:t xml:space="preserve"> till och med</w:t>
      </w:r>
      <w:r w:rsidR="0064307F">
        <w:rPr>
          <w:szCs w:val="20"/>
        </w:rPr>
        <w:t xml:space="preserve"> </w:t>
      </w:r>
      <w:r w:rsidR="00CE1791">
        <w:rPr>
          <w:szCs w:val="20"/>
        </w:rPr>
        <w:t>negativ utveckling</w:t>
      </w:r>
      <w:r w:rsidR="00007FD2">
        <w:rPr>
          <w:szCs w:val="20"/>
        </w:rPr>
        <w:t>. Det är främst</w:t>
      </w:r>
      <w:r w:rsidR="00FB5A1B">
        <w:rPr>
          <w:szCs w:val="20"/>
        </w:rPr>
        <w:t xml:space="preserve"> de fysiska butikernas</w:t>
      </w:r>
      <w:r w:rsidR="0056179B">
        <w:rPr>
          <w:szCs w:val="20"/>
        </w:rPr>
        <w:t xml:space="preserve"> försäljning under</w:t>
      </w:r>
      <w:r w:rsidR="00007FD2">
        <w:rPr>
          <w:szCs w:val="20"/>
        </w:rPr>
        <w:t xml:space="preserve"> årets sista</w:t>
      </w:r>
      <w:r w:rsidR="00A356F3">
        <w:rPr>
          <w:szCs w:val="20"/>
        </w:rPr>
        <w:t xml:space="preserve"> restriktionslätta</w:t>
      </w:r>
      <w:r w:rsidR="00007FD2">
        <w:rPr>
          <w:szCs w:val="20"/>
        </w:rPr>
        <w:t xml:space="preserve"> månader</w:t>
      </w:r>
      <w:r w:rsidR="00A356F3">
        <w:rPr>
          <w:szCs w:val="20"/>
        </w:rPr>
        <w:t xml:space="preserve"> </w:t>
      </w:r>
      <w:r w:rsidR="00FB5A1B">
        <w:rPr>
          <w:szCs w:val="20"/>
        </w:rPr>
        <w:t xml:space="preserve">som står för </w:t>
      </w:r>
      <w:r w:rsidR="0056179B">
        <w:rPr>
          <w:szCs w:val="20"/>
        </w:rPr>
        <w:t>branschens</w:t>
      </w:r>
      <w:r w:rsidR="0033403E">
        <w:rPr>
          <w:szCs w:val="20"/>
        </w:rPr>
        <w:t xml:space="preserve"> positiva</w:t>
      </w:r>
      <w:r w:rsidR="0056179B">
        <w:rPr>
          <w:szCs w:val="20"/>
        </w:rPr>
        <w:t xml:space="preserve"> </w:t>
      </w:r>
      <w:proofErr w:type="spellStart"/>
      <w:r w:rsidR="0033403E">
        <w:rPr>
          <w:szCs w:val="20"/>
        </w:rPr>
        <w:t>årsutveckling</w:t>
      </w:r>
      <w:proofErr w:type="spellEnd"/>
      <w:r w:rsidR="0056179B">
        <w:rPr>
          <w:szCs w:val="20"/>
        </w:rPr>
        <w:t>.</w:t>
      </w:r>
    </w:p>
    <w:p w14:paraId="36CC107B" w14:textId="70DD2630" w:rsidR="00A83E05" w:rsidRDefault="00A83E05" w:rsidP="00303D01">
      <w:pPr>
        <w:spacing w:after="120" w:line="276" w:lineRule="auto"/>
        <w:jc w:val="both"/>
        <w:rPr>
          <w:szCs w:val="20"/>
        </w:rPr>
      </w:pPr>
      <w:r>
        <w:rPr>
          <w:szCs w:val="20"/>
        </w:rPr>
        <w:t>Sällanköps</w:t>
      </w:r>
      <w:r w:rsidR="00F87AB9">
        <w:rPr>
          <w:szCs w:val="20"/>
        </w:rPr>
        <w:t xml:space="preserve">varuhandeln har däremot </w:t>
      </w:r>
      <w:r w:rsidR="004209D8">
        <w:rPr>
          <w:szCs w:val="20"/>
        </w:rPr>
        <w:t>gått</w:t>
      </w:r>
      <w:r w:rsidR="00F87AB9">
        <w:rPr>
          <w:szCs w:val="20"/>
        </w:rPr>
        <w:t xml:space="preserve"> starkt jämfört med 2020</w:t>
      </w:r>
      <w:r w:rsidR="009732AA">
        <w:rPr>
          <w:szCs w:val="20"/>
        </w:rPr>
        <w:t>. Den</w:t>
      </w:r>
      <w:r w:rsidR="007340A8">
        <w:rPr>
          <w:szCs w:val="20"/>
        </w:rPr>
        <w:t xml:space="preserve"> sakta återöppningen av samhället och </w:t>
      </w:r>
      <w:r w:rsidR="00777968">
        <w:rPr>
          <w:szCs w:val="20"/>
        </w:rPr>
        <w:t xml:space="preserve">ett sug efter </w:t>
      </w:r>
      <w:r w:rsidR="008C6D8A">
        <w:rPr>
          <w:szCs w:val="20"/>
        </w:rPr>
        <w:t>att återigen träffas och kunna handla</w:t>
      </w:r>
      <w:r w:rsidR="005905AB">
        <w:rPr>
          <w:szCs w:val="20"/>
        </w:rPr>
        <w:t xml:space="preserve"> i fysiska affärer har</w:t>
      </w:r>
      <w:r w:rsidR="009732AA">
        <w:rPr>
          <w:szCs w:val="20"/>
        </w:rPr>
        <w:t xml:space="preserve"> till exempel</w:t>
      </w:r>
      <w:r w:rsidR="005905AB">
        <w:rPr>
          <w:szCs w:val="20"/>
        </w:rPr>
        <w:t xml:space="preserve"> gjort att sko</w:t>
      </w:r>
      <w:r w:rsidR="00A17D14">
        <w:rPr>
          <w:szCs w:val="20"/>
        </w:rPr>
        <w:t>-</w:t>
      </w:r>
      <w:r w:rsidR="005905AB">
        <w:rPr>
          <w:szCs w:val="20"/>
        </w:rPr>
        <w:t xml:space="preserve"> och klädhandeln som förra året hade negativ </w:t>
      </w:r>
      <w:r w:rsidR="00535029">
        <w:rPr>
          <w:szCs w:val="20"/>
        </w:rPr>
        <w:t>utveckling</w:t>
      </w:r>
      <w:r w:rsidR="005905AB">
        <w:rPr>
          <w:szCs w:val="20"/>
        </w:rPr>
        <w:t xml:space="preserve"> på </w:t>
      </w:r>
      <w:r w:rsidR="00677896">
        <w:rPr>
          <w:szCs w:val="20"/>
        </w:rPr>
        <w:t>-</w:t>
      </w:r>
      <w:r w:rsidR="005905AB">
        <w:rPr>
          <w:szCs w:val="20"/>
        </w:rPr>
        <w:t>20</w:t>
      </w:r>
      <w:r w:rsidR="00535029">
        <w:rPr>
          <w:szCs w:val="20"/>
        </w:rPr>
        <w:t xml:space="preserve"> respektive </w:t>
      </w:r>
      <w:r w:rsidR="00677896">
        <w:rPr>
          <w:szCs w:val="20"/>
        </w:rPr>
        <w:t>-</w:t>
      </w:r>
      <w:r w:rsidR="00535029">
        <w:rPr>
          <w:szCs w:val="20"/>
        </w:rPr>
        <w:t>29 procent</w:t>
      </w:r>
      <w:r w:rsidR="00677896">
        <w:rPr>
          <w:szCs w:val="20"/>
        </w:rPr>
        <w:t>,</w:t>
      </w:r>
      <w:r w:rsidR="00535029">
        <w:rPr>
          <w:szCs w:val="20"/>
        </w:rPr>
        <w:t xml:space="preserve"> var under 2021 ledande branscher utveckling</w:t>
      </w:r>
      <w:r w:rsidR="00677896">
        <w:rPr>
          <w:szCs w:val="20"/>
        </w:rPr>
        <w:t>smässigt</w:t>
      </w:r>
      <w:r w:rsidR="00FB4EF3">
        <w:rPr>
          <w:szCs w:val="20"/>
        </w:rPr>
        <w:t xml:space="preserve">. Det </w:t>
      </w:r>
      <w:r w:rsidR="002C259D">
        <w:rPr>
          <w:szCs w:val="20"/>
        </w:rPr>
        <w:t>är</w:t>
      </w:r>
      <w:r w:rsidR="00867EB8">
        <w:rPr>
          <w:szCs w:val="20"/>
        </w:rPr>
        <w:t xml:space="preserve"> dock ingen av delbranscherna som uppvisat negativa siffror</w:t>
      </w:r>
      <w:r w:rsidR="002C259D">
        <w:rPr>
          <w:szCs w:val="20"/>
        </w:rPr>
        <w:t>,</w:t>
      </w:r>
      <w:r w:rsidR="00867EB8">
        <w:rPr>
          <w:szCs w:val="20"/>
        </w:rPr>
        <w:t xml:space="preserve"> </w:t>
      </w:r>
      <w:r w:rsidR="006B3AAE">
        <w:rPr>
          <w:szCs w:val="20"/>
        </w:rPr>
        <w:t>bara en något mindre positiv utveckling i jämförelse med 2020.</w:t>
      </w:r>
    </w:p>
    <w:p w14:paraId="5B7F88EE" w14:textId="24AC4739" w:rsidR="004A386E" w:rsidRDefault="004A386E" w:rsidP="00303D01">
      <w:pPr>
        <w:spacing w:after="120" w:line="276" w:lineRule="auto"/>
        <w:jc w:val="both"/>
        <w:rPr>
          <w:szCs w:val="20"/>
        </w:rPr>
      </w:pPr>
      <w:r>
        <w:rPr>
          <w:szCs w:val="20"/>
        </w:rPr>
        <w:t>Det är</w:t>
      </w:r>
      <w:r w:rsidR="00F54C9A">
        <w:rPr>
          <w:szCs w:val="20"/>
        </w:rPr>
        <w:t>,</w:t>
      </w:r>
      <w:r>
        <w:rPr>
          <w:szCs w:val="20"/>
        </w:rPr>
        <w:t xml:space="preserve"> </w:t>
      </w:r>
      <w:r w:rsidR="00F54C9A">
        <w:rPr>
          <w:szCs w:val="20"/>
        </w:rPr>
        <w:t xml:space="preserve">som sagt, </w:t>
      </w:r>
      <w:r w:rsidR="0053479B">
        <w:rPr>
          <w:szCs w:val="20"/>
        </w:rPr>
        <w:t>framför allt</w:t>
      </w:r>
      <w:r>
        <w:rPr>
          <w:szCs w:val="20"/>
        </w:rPr>
        <w:t xml:space="preserve"> sko</w:t>
      </w:r>
      <w:r w:rsidR="008F74C1">
        <w:rPr>
          <w:szCs w:val="20"/>
        </w:rPr>
        <w:t>-</w:t>
      </w:r>
      <w:r>
        <w:rPr>
          <w:szCs w:val="20"/>
        </w:rPr>
        <w:t xml:space="preserve"> och klädbranschen som fått revansch 2021 </w:t>
      </w:r>
      <w:r w:rsidR="008A1297">
        <w:rPr>
          <w:szCs w:val="20"/>
        </w:rPr>
        <w:t>med</w:t>
      </w:r>
      <w:r w:rsidR="00C05AA4">
        <w:rPr>
          <w:szCs w:val="20"/>
        </w:rPr>
        <w:t xml:space="preserve"> en tillväxt på </w:t>
      </w:r>
      <w:r w:rsidR="008A5BBC">
        <w:rPr>
          <w:szCs w:val="20"/>
        </w:rPr>
        <w:t>21</w:t>
      </w:r>
      <w:r w:rsidR="00C05AA4">
        <w:rPr>
          <w:szCs w:val="20"/>
        </w:rPr>
        <w:t xml:space="preserve"> respektive 1</w:t>
      </w:r>
      <w:r w:rsidR="008A5BBC">
        <w:rPr>
          <w:szCs w:val="20"/>
        </w:rPr>
        <w:t xml:space="preserve">4,3 </w:t>
      </w:r>
      <w:r w:rsidR="00C05AA4">
        <w:rPr>
          <w:szCs w:val="20"/>
        </w:rPr>
        <w:t>procent</w:t>
      </w:r>
      <w:r w:rsidR="0048259B">
        <w:rPr>
          <w:szCs w:val="20"/>
        </w:rPr>
        <w:t>. Kläder</w:t>
      </w:r>
      <w:r w:rsidR="00683B33">
        <w:rPr>
          <w:szCs w:val="20"/>
        </w:rPr>
        <w:t xml:space="preserve"> och skor</w:t>
      </w:r>
      <w:r w:rsidR="0048259B">
        <w:rPr>
          <w:szCs w:val="20"/>
        </w:rPr>
        <w:t xml:space="preserve"> är rätt starkt kopplat till fysiska butiker</w:t>
      </w:r>
      <w:r w:rsidR="009732AA">
        <w:rPr>
          <w:szCs w:val="20"/>
        </w:rPr>
        <w:t xml:space="preserve"> och</w:t>
      </w:r>
      <w:r w:rsidR="0048259B">
        <w:rPr>
          <w:szCs w:val="20"/>
        </w:rPr>
        <w:t xml:space="preserve"> köpcentrum men även </w:t>
      </w:r>
      <w:r w:rsidR="00683B33">
        <w:rPr>
          <w:szCs w:val="20"/>
        </w:rPr>
        <w:t>till sociala aktiviteter vilket 2021 erbjöd i mycket större utsträckning</w:t>
      </w:r>
      <w:r w:rsidR="008A5BBC">
        <w:rPr>
          <w:szCs w:val="20"/>
        </w:rPr>
        <w:t xml:space="preserve"> än 2020</w:t>
      </w:r>
      <w:r w:rsidR="00683B33">
        <w:rPr>
          <w:szCs w:val="20"/>
        </w:rPr>
        <w:t>.</w:t>
      </w:r>
      <w:r w:rsidR="008A5BBC">
        <w:rPr>
          <w:szCs w:val="20"/>
        </w:rPr>
        <w:t xml:space="preserve"> År</w:t>
      </w:r>
      <w:r w:rsidR="00683B33">
        <w:rPr>
          <w:szCs w:val="20"/>
        </w:rPr>
        <w:t xml:space="preserve"> </w:t>
      </w:r>
      <w:r w:rsidR="00712B26">
        <w:rPr>
          <w:szCs w:val="20"/>
        </w:rPr>
        <w:t>2021 är det de branscher som gick bra 2020</w:t>
      </w:r>
      <w:r w:rsidR="002B4700">
        <w:rPr>
          <w:szCs w:val="20"/>
        </w:rPr>
        <w:t xml:space="preserve"> som</w:t>
      </w:r>
      <w:r w:rsidR="00712B26">
        <w:rPr>
          <w:szCs w:val="20"/>
        </w:rPr>
        <w:t xml:space="preserve"> </w:t>
      </w:r>
      <w:r w:rsidR="005824E3">
        <w:rPr>
          <w:szCs w:val="20"/>
        </w:rPr>
        <w:t>i stället</w:t>
      </w:r>
      <w:r w:rsidR="00712B26">
        <w:rPr>
          <w:szCs w:val="20"/>
        </w:rPr>
        <w:t xml:space="preserve"> backat</w:t>
      </w:r>
      <w:r w:rsidR="002E3D8F">
        <w:rPr>
          <w:szCs w:val="20"/>
        </w:rPr>
        <w:t xml:space="preserve"> något</w:t>
      </w:r>
      <w:r w:rsidR="00A17D14">
        <w:rPr>
          <w:szCs w:val="20"/>
        </w:rPr>
        <w:t xml:space="preserve"> rent utvecklingsmässigt</w:t>
      </w:r>
      <w:r w:rsidR="002B4700">
        <w:rPr>
          <w:szCs w:val="20"/>
        </w:rPr>
        <w:t>.</w:t>
      </w:r>
      <w:r w:rsidR="00712B26">
        <w:rPr>
          <w:szCs w:val="20"/>
        </w:rPr>
        <w:t xml:space="preserve"> </w:t>
      </w:r>
      <w:r w:rsidR="002B4700">
        <w:rPr>
          <w:szCs w:val="20"/>
        </w:rPr>
        <w:t>H</w:t>
      </w:r>
      <w:r w:rsidR="00733031">
        <w:rPr>
          <w:szCs w:val="20"/>
        </w:rPr>
        <w:t xml:space="preserve">eminredning och möbler har </w:t>
      </w:r>
      <w:r w:rsidR="00A17D14">
        <w:rPr>
          <w:szCs w:val="20"/>
        </w:rPr>
        <w:t>båda fått sin utveckling halverad</w:t>
      </w:r>
      <w:r w:rsidR="00D01278">
        <w:rPr>
          <w:szCs w:val="20"/>
        </w:rPr>
        <w:t xml:space="preserve"> och elektronik </w:t>
      </w:r>
      <w:r w:rsidR="002B4700">
        <w:rPr>
          <w:szCs w:val="20"/>
        </w:rPr>
        <w:t xml:space="preserve">har </w:t>
      </w:r>
      <w:r w:rsidR="00D01278">
        <w:rPr>
          <w:szCs w:val="20"/>
        </w:rPr>
        <w:t xml:space="preserve">gått </w:t>
      </w:r>
      <w:r w:rsidR="001D5954">
        <w:rPr>
          <w:szCs w:val="20"/>
        </w:rPr>
        <w:t>ner 8 procentenheter jämfört med 2020</w:t>
      </w:r>
      <w:r w:rsidR="002B4700">
        <w:rPr>
          <w:szCs w:val="20"/>
        </w:rPr>
        <w:t>.</w:t>
      </w:r>
    </w:p>
    <w:p w14:paraId="30AACA01" w14:textId="0D1CD066" w:rsidR="000938AD" w:rsidRPr="00AA043D" w:rsidRDefault="00FE6710" w:rsidP="00303D01">
      <w:pPr>
        <w:spacing w:after="120" w:line="276" w:lineRule="auto"/>
        <w:rPr>
          <w:szCs w:val="20"/>
        </w:rPr>
      </w:pPr>
      <w:r>
        <w:rPr>
          <w:noProof/>
        </w:rPr>
        <w:drawing>
          <wp:inline distT="0" distB="0" distL="0" distR="0" wp14:anchorId="08A386E0" wp14:editId="257394B3">
            <wp:extent cx="5791200" cy="26860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09CE3C0-43AD-451C-BD5C-D678F83089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CD3220" w14:textId="76AB0181" w:rsidR="00326C64" w:rsidRPr="00AA043D" w:rsidRDefault="00CE74C9" w:rsidP="00303D01">
      <w:pPr>
        <w:spacing w:after="120" w:line="276" w:lineRule="auto"/>
        <w:rPr>
          <w:i/>
          <w:sz w:val="20"/>
          <w:szCs w:val="20"/>
        </w:rPr>
      </w:pPr>
      <w:r w:rsidRPr="00AA043D">
        <w:rPr>
          <w:i/>
          <w:sz w:val="20"/>
          <w:szCs w:val="20"/>
        </w:rPr>
        <w:t xml:space="preserve">Källa: </w:t>
      </w:r>
      <w:r w:rsidR="00D40D4D">
        <w:rPr>
          <w:i/>
          <w:sz w:val="20"/>
          <w:szCs w:val="20"/>
        </w:rPr>
        <w:t>Handelsfakta</w:t>
      </w:r>
      <w:r w:rsidR="00A149FD" w:rsidRPr="00AA043D">
        <w:rPr>
          <w:i/>
          <w:sz w:val="20"/>
          <w:szCs w:val="20"/>
        </w:rPr>
        <w:t xml:space="preserve"> och HUI Research</w:t>
      </w:r>
      <w:r w:rsidR="006B4D80" w:rsidRPr="00AA043D">
        <w:rPr>
          <w:i/>
          <w:sz w:val="20"/>
          <w:szCs w:val="20"/>
        </w:rPr>
        <w:t>, helårsutvecklin</w:t>
      </w:r>
      <w:r w:rsidR="00326C64" w:rsidRPr="00AA043D">
        <w:rPr>
          <w:i/>
          <w:sz w:val="20"/>
          <w:szCs w:val="20"/>
        </w:rPr>
        <w:t>g</w:t>
      </w:r>
    </w:p>
    <w:p w14:paraId="10E8173C" w14:textId="77777777" w:rsidR="00930C13" w:rsidRDefault="00930C13" w:rsidP="00303D01">
      <w:pPr>
        <w:spacing w:after="120"/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14:paraId="5A5BB519" w14:textId="682DE8A1" w:rsidR="00597B57" w:rsidRPr="00AA043D" w:rsidRDefault="001402ED" w:rsidP="00303D01">
      <w:pPr>
        <w:spacing w:after="120" w:line="276" w:lineRule="auto"/>
        <w:jc w:val="both"/>
        <w:rPr>
          <w:i/>
          <w:sz w:val="20"/>
          <w:szCs w:val="20"/>
        </w:rPr>
      </w:pPr>
      <w:r>
        <w:rPr>
          <w:b/>
          <w:sz w:val="24"/>
          <w:szCs w:val="20"/>
        </w:rPr>
        <w:lastRenderedPageBreak/>
        <w:t>E-hand</w:t>
      </w:r>
      <w:r w:rsidR="00C56634" w:rsidRPr="00AA043D">
        <w:rPr>
          <w:b/>
          <w:sz w:val="24"/>
          <w:szCs w:val="20"/>
        </w:rPr>
        <w:t>el</w:t>
      </w:r>
      <w:r w:rsidR="00E139D7" w:rsidRPr="00AA043D">
        <w:rPr>
          <w:b/>
          <w:sz w:val="24"/>
          <w:szCs w:val="20"/>
        </w:rPr>
        <w:t>n</w:t>
      </w:r>
      <w:r w:rsidR="00EC52CA" w:rsidRPr="00AA043D">
        <w:rPr>
          <w:b/>
          <w:sz w:val="24"/>
          <w:szCs w:val="20"/>
        </w:rPr>
        <w:t xml:space="preserve">s utveckling </w:t>
      </w:r>
      <w:r w:rsidR="00360C53">
        <w:rPr>
          <w:b/>
          <w:sz w:val="24"/>
          <w:szCs w:val="20"/>
        </w:rPr>
        <w:t>2021</w:t>
      </w:r>
    </w:p>
    <w:p w14:paraId="46F8D86B" w14:textId="46267E98" w:rsidR="001C55E7" w:rsidRDefault="001402ED" w:rsidP="00303D01">
      <w:pPr>
        <w:pStyle w:val="Brdtext"/>
        <w:spacing w:after="12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E-hand</w:t>
      </w:r>
      <w:r w:rsidR="00F069BF" w:rsidRPr="00F069BF">
        <w:rPr>
          <w:sz w:val="22"/>
          <w:szCs w:val="20"/>
        </w:rPr>
        <w:t>eln hade 2021 en tillväxt på 20 procent</w:t>
      </w:r>
      <w:r w:rsidR="00F069BF">
        <w:rPr>
          <w:sz w:val="22"/>
          <w:szCs w:val="20"/>
        </w:rPr>
        <w:t xml:space="preserve">, </w:t>
      </w:r>
      <w:r>
        <w:rPr>
          <w:sz w:val="22"/>
          <w:szCs w:val="20"/>
        </w:rPr>
        <w:t>E-hand</w:t>
      </w:r>
      <w:r w:rsidR="00F069BF">
        <w:rPr>
          <w:sz w:val="22"/>
          <w:szCs w:val="20"/>
        </w:rPr>
        <w:t>eln växte med</w:t>
      </w:r>
      <w:r w:rsidR="008041AD">
        <w:rPr>
          <w:sz w:val="22"/>
          <w:szCs w:val="20"/>
        </w:rPr>
        <w:t xml:space="preserve"> cirka</w:t>
      </w:r>
      <w:r w:rsidR="00F069BF">
        <w:rPr>
          <w:sz w:val="22"/>
          <w:szCs w:val="20"/>
        </w:rPr>
        <w:t xml:space="preserve"> </w:t>
      </w:r>
      <w:r w:rsidR="00775EA9">
        <w:rPr>
          <w:sz w:val="22"/>
          <w:szCs w:val="20"/>
        </w:rPr>
        <w:t>24 miljarder jämfört med fjolåret</w:t>
      </w:r>
      <w:r w:rsidR="00775EA9" w:rsidRPr="00F069BF">
        <w:rPr>
          <w:sz w:val="22"/>
          <w:szCs w:val="20"/>
        </w:rPr>
        <w:t>.</w:t>
      </w:r>
      <w:r w:rsidR="001C55E7">
        <w:rPr>
          <w:sz w:val="22"/>
          <w:szCs w:val="20"/>
        </w:rPr>
        <w:t xml:space="preserve"> I Västra Götaland har andelen som </w:t>
      </w:r>
      <w:r>
        <w:rPr>
          <w:sz w:val="22"/>
          <w:szCs w:val="20"/>
        </w:rPr>
        <w:t>E-hand</w:t>
      </w:r>
      <w:r w:rsidR="001C55E7">
        <w:rPr>
          <w:sz w:val="22"/>
          <w:szCs w:val="20"/>
        </w:rPr>
        <w:t xml:space="preserve">lar </w:t>
      </w:r>
      <w:r w:rsidR="00E0515B">
        <w:rPr>
          <w:sz w:val="22"/>
          <w:szCs w:val="20"/>
        </w:rPr>
        <w:t>min</w:t>
      </w:r>
      <w:r w:rsidR="00565E21">
        <w:rPr>
          <w:sz w:val="22"/>
          <w:szCs w:val="20"/>
        </w:rPr>
        <w:t>st</w:t>
      </w:r>
      <w:r w:rsidR="00E0515B">
        <w:rPr>
          <w:sz w:val="22"/>
          <w:szCs w:val="20"/>
        </w:rPr>
        <w:t xml:space="preserve"> en gång i månaden ökat med 2 procent från 2020 till 78</w:t>
      </w:r>
      <w:r w:rsidR="00A17D14">
        <w:rPr>
          <w:sz w:val="22"/>
          <w:szCs w:val="20"/>
        </w:rPr>
        <w:t xml:space="preserve"> procent</w:t>
      </w:r>
      <w:r w:rsidR="00E0515B">
        <w:rPr>
          <w:sz w:val="22"/>
          <w:szCs w:val="20"/>
        </w:rPr>
        <w:t xml:space="preserve"> och </w:t>
      </w:r>
      <w:r w:rsidR="00A17D14">
        <w:rPr>
          <w:sz w:val="22"/>
          <w:szCs w:val="20"/>
        </w:rPr>
        <w:t>det</w:t>
      </w:r>
      <w:r w:rsidR="00774608">
        <w:rPr>
          <w:sz w:val="22"/>
          <w:szCs w:val="20"/>
        </w:rPr>
        <w:t xml:space="preserve"> genomsnitt</w:t>
      </w:r>
      <w:r w:rsidR="00A17D14">
        <w:rPr>
          <w:sz w:val="22"/>
          <w:szCs w:val="20"/>
        </w:rPr>
        <w:t>liga</w:t>
      </w:r>
      <w:r w:rsidR="00D55813">
        <w:rPr>
          <w:sz w:val="22"/>
          <w:szCs w:val="20"/>
        </w:rPr>
        <w:t xml:space="preserve"> </w:t>
      </w:r>
      <w:r w:rsidR="00774608">
        <w:rPr>
          <w:sz w:val="22"/>
          <w:szCs w:val="20"/>
        </w:rPr>
        <w:t>köp</w:t>
      </w:r>
      <w:r w:rsidR="00D55813">
        <w:rPr>
          <w:sz w:val="22"/>
          <w:szCs w:val="20"/>
        </w:rPr>
        <w:t xml:space="preserve">beloppet </w:t>
      </w:r>
      <w:r w:rsidR="00A17D14">
        <w:rPr>
          <w:sz w:val="22"/>
          <w:szCs w:val="20"/>
        </w:rPr>
        <w:t>för en</w:t>
      </w:r>
      <w:r w:rsidR="00D55813">
        <w:rPr>
          <w:sz w:val="22"/>
          <w:szCs w:val="20"/>
        </w:rPr>
        <w:t xml:space="preserve"> månad </w:t>
      </w:r>
      <w:r w:rsidR="00774608">
        <w:rPr>
          <w:sz w:val="22"/>
          <w:szCs w:val="20"/>
        </w:rPr>
        <w:t>ligger på 2</w:t>
      </w:r>
      <w:r w:rsidR="00565E21">
        <w:rPr>
          <w:sz w:val="22"/>
          <w:szCs w:val="20"/>
        </w:rPr>
        <w:t xml:space="preserve"> </w:t>
      </w:r>
      <w:r w:rsidR="00774608">
        <w:rPr>
          <w:sz w:val="22"/>
          <w:szCs w:val="20"/>
        </w:rPr>
        <w:t>582 kr.</w:t>
      </w:r>
      <w:r w:rsidR="00E0515B">
        <w:rPr>
          <w:sz w:val="22"/>
          <w:szCs w:val="20"/>
        </w:rPr>
        <w:t xml:space="preserve"> </w:t>
      </w:r>
      <w:r w:rsidR="00D55813">
        <w:rPr>
          <w:sz w:val="22"/>
          <w:szCs w:val="20"/>
        </w:rPr>
        <w:t>År 2020 v</w:t>
      </w:r>
      <w:r w:rsidR="007B38B7">
        <w:rPr>
          <w:sz w:val="22"/>
          <w:szCs w:val="20"/>
        </w:rPr>
        <w:t>ar tillväxten extremt hög</w:t>
      </w:r>
      <w:r w:rsidR="003A1840">
        <w:rPr>
          <w:sz w:val="22"/>
          <w:szCs w:val="20"/>
        </w:rPr>
        <w:t xml:space="preserve">, 40 procent, och detta självklart på grund av pandemin. 2021 har </w:t>
      </w:r>
      <w:r w:rsidR="00921295">
        <w:rPr>
          <w:sz w:val="22"/>
          <w:szCs w:val="20"/>
        </w:rPr>
        <w:t>halva</w:t>
      </w:r>
      <w:r w:rsidR="003A1840">
        <w:rPr>
          <w:sz w:val="22"/>
          <w:szCs w:val="20"/>
        </w:rPr>
        <w:t xml:space="preserve"> tillväxt</w:t>
      </w:r>
      <w:r w:rsidR="00921295">
        <w:rPr>
          <w:sz w:val="22"/>
          <w:szCs w:val="20"/>
        </w:rPr>
        <w:t>en, 20 procent,</w:t>
      </w:r>
      <w:r w:rsidR="003A1840">
        <w:rPr>
          <w:sz w:val="22"/>
          <w:szCs w:val="20"/>
        </w:rPr>
        <w:t xml:space="preserve"> </w:t>
      </w:r>
      <w:r w:rsidR="007B38B7">
        <w:rPr>
          <w:sz w:val="22"/>
          <w:szCs w:val="20"/>
        </w:rPr>
        <w:t>men de</w:t>
      </w:r>
      <w:r w:rsidR="00921295">
        <w:rPr>
          <w:sz w:val="22"/>
          <w:szCs w:val="20"/>
        </w:rPr>
        <w:t>n</w:t>
      </w:r>
      <w:r w:rsidR="008041AD">
        <w:rPr>
          <w:sz w:val="22"/>
          <w:szCs w:val="20"/>
        </w:rPr>
        <w:t xml:space="preserve"> motsvarar </w:t>
      </w:r>
      <w:r w:rsidR="007B38B7">
        <w:rPr>
          <w:sz w:val="22"/>
          <w:szCs w:val="20"/>
        </w:rPr>
        <w:t>ändå en total ökning</w:t>
      </w:r>
      <w:r w:rsidR="00921295">
        <w:rPr>
          <w:sz w:val="22"/>
          <w:szCs w:val="20"/>
        </w:rPr>
        <w:t xml:space="preserve"> på</w:t>
      </w:r>
      <w:r w:rsidR="007B38B7">
        <w:rPr>
          <w:sz w:val="22"/>
          <w:szCs w:val="20"/>
        </w:rPr>
        <w:t xml:space="preserve"> </w:t>
      </w:r>
      <w:r w:rsidR="008041AD">
        <w:rPr>
          <w:sz w:val="22"/>
          <w:szCs w:val="20"/>
        </w:rPr>
        <w:t>24 miljarder</w:t>
      </w:r>
      <w:r w:rsidR="007B38B7">
        <w:rPr>
          <w:sz w:val="22"/>
          <w:szCs w:val="20"/>
        </w:rPr>
        <w:t xml:space="preserve"> och E-handeln </w:t>
      </w:r>
      <w:r w:rsidR="00921295">
        <w:rPr>
          <w:sz w:val="22"/>
          <w:szCs w:val="20"/>
        </w:rPr>
        <w:t>omsätter 2021 totalt 146 miljarder kronor</w:t>
      </w:r>
      <w:r w:rsidR="009A7B17">
        <w:rPr>
          <w:sz w:val="22"/>
          <w:szCs w:val="20"/>
        </w:rPr>
        <w:t>.</w:t>
      </w:r>
    </w:p>
    <w:p w14:paraId="38C7F829" w14:textId="429647A8" w:rsidR="00303D01" w:rsidRDefault="009A7B17" w:rsidP="00303D01">
      <w:pPr>
        <w:pStyle w:val="Brdtext"/>
        <w:spacing w:after="12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2021 var ett år</w:t>
      </w:r>
      <w:r w:rsidR="00303D01">
        <w:rPr>
          <w:sz w:val="22"/>
          <w:szCs w:val="20"/>
        </w:rPr>
        <w:t xml:space="preserve"> </w:t>
      </w:r>
      <w:r>
        <w:rPr>
          <w:sz w:val="22"/>
          <w:szCs w:val="20"/>
        </w:rPr>
        <w:t>med både pandemirestriktioner och återöppnande av samhället följt efter varandra</w:t>
      </w:r>
      <w:r w:rsidR="00303D01">
        <w:rPr>
          <w:sz w:val="22"/>
          <w:szCs w:val="20"/>
        </w:rPr>
        <w:t xml:space="preserve"> vilket gör att tillväxten varit varierad över kvartalen. Det började med tresiffriga tillväxttal första kvartalet och</w:t>
      </w:r>
      <w:r w:rsidR="00921295">
        <w:rPr>
          <w:sz w:val="22"/>
          <w:szCs w:val="20"/>
        </w:rPr>
        <w:t xml:space="preserve"> slutade med</w:t>
      </w:r>
      <w:r w:rsidR="00303D01">
        <w:rPr>
          <w:sz w:val="22"/>
          <w:szCs w:val="20"/>
        </w:rPr>
        <w:t xml:space="preserve"> negativa under fjärde. Detta speglar förändringen</w:t>
      </w:r>
      <w:r w:rsidR="00921295">
        <w:rPr>
          <w:sz w:val="22"/>
          <w:szCs w:val="20"/>
        </w:rPr>
        <w:t xml:space="preserve"> i pandemiregler</w:t>
      </w:r>
      <w:r w:rsidR="00303D01">
        <w:rPr>
          <w:sz w:val="22"/>
          <w:szCs w:val="20"/>
        </w:rPr>
        <w:t xml:space="preserve"> under året men även anpassningen till</w:t>
      </w:r>
      <w:r w:rsidR="00921295">
        <w:rPr>
          <w:sz w:val="22"/>
          <w:szCs w:val="20"/>
        </w:rPr>
        <w:t xml:space="preserve"> dem</w:t>
      </w:r>
      <w:r w:rsidR="00303D01">
        <w:rPr>
          <w:sz w:val="22"/>
          <w:szCs w:val="20"/>
        </w:rPr>
        <w:t xml:space="preserve"> under 2020.</w:t>
      </w:r>
    </w:p>
    <w:p w14:paraId="23D9BAA2" w14:textId="75A6B1AE" w:rsidR="00E82737" w:rsidRDefault="00367FA1" w:rsidP="00303D01">
      <w:pPr>
        <w:pStyle w:val="Brdtext"/>
        <w:spacing w:after="12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Inom de</w:t>
      </w:r>
      <w:r w:rsidR="00921295">
        <w:rPr>
          <w:sz w:val="22"/>
          <w:szCs w:val="20"/>
        </w:rPr>
        <w:t>taljhandelns</w:t>
      </w:r>
      <w:r>
        <w:rPr>
          <w:sz w:val="22"/>
          <w:szCs w:val="20"/>
        </w:rPr>
        <w:t xml:space="preserve"> </w:t>
      </w:r>
      <w:r w:rsidR="00921295">
        <w:rPr>
          <w:sz w:val="22"/>
          <w:szCs w:val="20"/>
        </w:rPr>
        <w:t>del</w:t>
      </w:r>
      <w:r>
        <w:rPr>
          <w:sz w:val="22"/>
          <w:szCs w:val="20"/>
        </w:rPr>
        <w:t>branscher var 2021 ganska likt 2020</w:t>
      </w:r>
      <w:r w:rsidR="00815A17">
        <w:rPr>
          <w:sz w:val="22"/>
          <w:szCs w:val="20"/>
        </w:rPr>
        <w:t xml:space="preserve"> fast med lägre tillväxttal. Dagligvaror som 2020 växte med 95 procent, växte 2021 med 35 procent och har </w:t>
      </w:r>
      <w:r w:rsidR="00921295">
        <w:rPr>
          <w:sz w:val="22"/>
          <w:szCs w:val="20"/>
        </w:rPr>
        <w:t>utökat</w:t>
      </w:r>
      <w:r w:rsidR="00815A17">
        <w:rPr>
          <w:sz w:val="22"/>
          <w:szCs w:val="20"/>
        </w:rPr>
        <w:t xml:space="preserve"> sin marknadsandel från 4 till 6 procent.</w:t>
      </w:r>
      <w:r w:rsidR="005F5FAD">
        <w:rPr>
          <w:sz w:val="22"/>
          <w:szCs w:val="20"/>
        </w:rPr>
        <w:t xml:space="preserve"> Efter dagligvaror kommer</w:t>
      </w:r>
      <w:r w:rsidR="00815A17">
        <w:rPr>
          <w:sz w:val="22"/>
          <w:szCs w:val="20"/>
        </w:rPr>
        <w:t xml:space="preserve"> </w:t>
      </w:r>
      <w:r w:rsidR="005F5FAD">
        <w:rPr>
          <w:sz w:val="22"/>
          <w:szCs w:val="20"/>
        </w:rPr>
        <w:t>m</w:t>
      </w:r>
      <w:r w:rsidR="00815A17">
        <w:rPr>
          <w:sz w:val="22"/>
          <w:szCs w:val="20"/>
        </w:rPr>
        <w:t>öbler och heminredning</w:t>
      </w:r>
      <w:r w:rsidR="005F5FAD">
        <w:rPr>
          <w:sz w:val="22"/>
          <w:szCs w:val="20"/>
        </w:rPr>
        <w:t xml:space="preserve"> som</w:t>
      </w:r>
      <w:r w:rsidR="00815A17">
        <w:rPr>
          <w:sz w:val="22"/>
          <w:szCs w:val="20"/>
        </w:rPr>
        <w:t xml:space="preserve"> växte med 27 procent</w:t>
      </w:r>
      <w:r w:rsidR="005F5FAD">
        <w:rPr>
          <w:sz w:val="22"/>
          <w:szCs w:val="20"/>
        </w:rPr>
        <w:t xml:space="preserve"> och </w:t>
      </w:r>
      <w:r w:rsidR="00AF22DF">
        <w:rPr>
          <w:sz w:val="22"/>
          <w:szCs w:val="20"/>
        </w:rPr>
        <w:t>hemelektronik</w:t>
      </w:r>
      <w:r w:rsidR="005F5FAD">
        <w:rPr>
          <w:sz w:val="22"/>
          <w:szCs w:val="20"/>
        </w:rPr>
        <w:t xml:space="preserve"> som växte med 23 procent och har nu 51 procent av handelsandelen.</w:t>
      </w:r>
      <w:r w:rsidR="00921295">
        <w:rPr>
          <w:sz w:val="22"/>
          <w:szCs w:val="20"/>
        </w:rPr>
        <w:t xml:space="preserve"> Hemelektroniken är då första delbranschen där majoriteten av försäljningen skett online.</w:t>
      </w:r>
    </w:p>
    <w:p w14:paraId="093621EB" w14:textId="16E3CBC2" w:rsidR="005F5FAD" w:rsidRDefault="005F5FAD" w:rsidP="00303D01">
      <w:pPr>
        <w:pStyle w:val="Brdtext"/>
        <w:spacing w:after="12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Bygghandeln växte rejält förra året med 41 procent hade en mer blygsam tillväxt på 15 procent</w:t>
      </w:r>
      <w:r w:rsidR="001402ED">
        <w:rPr>
          <w:sz w:val="22"/>
          <w:szCs w:val="20"/>
        </w:rPr>
        <w:t xml:space="preserve"> 2021 </w:t>
      </w:r>
      <w:r w:rsidR="00292368">
        <w:rPr>
          <w:sz w:val="22"/>
          <w:szCs w:val="20"/>
        </w:rPr>
        <w:t>medan</w:t>
      </w:r>
      <w:r>
        <w:rPr>
          <w:sz w:val="22"/>
          <w:szCs w:val="20"/>
        </w:rPr>
        <w:t xml:space="preserve"> </w:t>
      </w:r>
      <w:r w:rsidR="001402ED">
        <w:rPr>
          <w:sz w:val="22"/>
          <w:szCs w:val="20"/>
        </w:rPr>
        <w:t>E-hand</w:t>
      </w:r>
      <w:r>
        <w:rPr>
          <w:sz w:val="22"/>
          <w:szCs w:val="20"/>
        </w:rPr>
        <w:t>elns andel där</w:t>
      </w:r>
      <w:r w:rsidR="00292368">
        <w:rPr>
          <w:sz w:val="22"/>
          <w:szCs w:val="20"/>
        </w:rPr>
        <w:t xml:space="preserve"> enbart</w:t>
      </w:r>
      <w:r>
        <w:rPr>
          <w:sz w:val="22"/>
          <w:szCs w:val="20"/>
        </w:rPr>
        <w:t xml:space="preserve"> växte </w:t>
      </w:r>
      <w:r w:rsidR="00292368">
        <w:rPr>
          <w:sz w:val="22"/>
          <w:szCs w:val="20"/>
        </w:rPr>
        <w:t>med</w:t>
      </w:r>
      <w:r>
        <w:rPr>
          <w:sz w:val="22"/>
          <w:szCs w:val="20"/>
        </w:rPr>
        <w:t xml:space="preserve"> 1 procent (</w:t>
      </w:r>
      <w:r w:rsidR="001402ED">
        <w:rPr>
          <w:sz w:val="22"/>
          <w:szCs w:val="20"/>
        </w:rPr>
        <w:t xml:space="preserve">från </w:t>
      </w:r>
      <w:r>
        <w:rPr>
          <w:sz w:val="22"/>
          <w:szCs w:val="20"/>
        </w:rPr>
        <w:t>14</w:t>
      </w:r>
      <w:r w:rsidR="001402ED">
        <w:rPr>
          <w:sz w:val="22"/>
          <w:szCs w:val="20"/>
        </w:rPr>
        <w:t xml:space="preserve"> till </w:t>
      </w:r>
      <w:r>
        <w:rPr>
          <w:sz w:val="22"/>
          <w:szCs w:val="20"/>
        </w:rPr>
        <w:t xml:space="preserve">15 </w:t>
      </w:r>
      <w:r w:rsidR="001402ED">
        <w:rPr>
          <w:sz w:val="22"/>
          <w:szCs w:val="20"/>
        </w:rPr>
        <w:t>procent</w:t>
      </w:r>
      <w:r>
        <w:rPr>
          <w:sz w:val="22"/>
          <w:szCs w:val="20"/>
        </w:rPr>
        <w:t xml:space="preserve">). En annan bransch som haft tillväxt men inte ökat sina andelar speciellt mycket är kläder och skor, som 2020 ökade </w:t>
      </w:r>
      <w:r w:rsidR="001402ED">
        <w:rPr>
          <w:sz w:val="22"/>
          <w:szCs w:val="20"/>
        </w:rPr>
        <w:t>E-hand</w:t>
      </w:r>
      <w:r>
        <w:rPr>
          <w:sz w:val="22"/>
          <w:szCs w:val="20"/>
        </w:rPr>
        <w:t xml:space="preserve">elsandelen från 20 till 30 procent. I år har tillväxten varit i stort </w:t>
      </w:r>
      <w:r w:rsidR="001402ED">
        <w:rPr>
          <w:sz w:val="22"/>
          <w:szCs w:val="20"/>
        </w:rPr>
        <w:t>sett</w:t>
      </w:r>
      <w:r>
        <w:rPr>
          <w:sz w:val="22"/>
          <w:szCs w:val="20"/>
        </w:rPr>
        <w:t xml:space="preserve"> lika stor, 17 procent, men </w:t>
      </w:r>
      <w:r w:rsidR="001402ED">
        <w:rPr>
          <w:sz w:val="22"/>
          <w:szCs w:val="20"/>
        </w:rPr>
        <w:t>E-hand</w:t>
      </w:r>
      <w:r>
        <w:rPr>
          <w:sz w:val="22"/>
          <w:szCs w:val="20"/>
        </w:rPr>
        <w:t>elsandelen har bara ökat 1 procent</w:t>
      </w:r>
      <w:r w:rsidR="00292368">
        <w:rPr>
          <w:sz w:val="22"/>
          <w:szCs w:val="20"/>
        </w:rPr>
        <w:t xml:space="preserve">. Detta </w:t>
      </w:r>
      <w:r>
        <w:rPr>
          <w:sz w:val="22"/>
          <w:szCs w:val="20"/>
        </w:rPr>
        <w:t xml:space="preserve">är sannolikt för att en försiktig återöppning av samhället gett ett sug för fysisk handel av kläder och skor. </w:t>
      </w:r>
    </w:p>
    <w:p w14:paraId="7432EF57" w14:textId="6640072F" w:rsidR="00FC78F4" w:rsidRPr="00AA043D" w:rsidRDefault="001A6A30" w:rsidP="00897412">
      <w:pPr>
        <w:pStyle w:val="Brdtext"/>
        <w:spacing w:after="12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E-handeln </w:t>
      </w:r>
      <w:r w:rsidR="00292368">
        <w:rPr>
          <w:sz w:val="22"/>
          <w:szCs w:val="20"/>
        </w:rPr>
        <w:t xml:space="preserve">blir </w:t>
      </w:r>
      <w:r w:rsidR="005475B4">
        <w:rPr>
          <w:sz w:val="22"/>
          <w:szCs w:val="20"/>
        </w:rPr>
        <w:t>alltmer</w:t>
      </w:r>
      <w:r w:rsidR="00292368">
        <w:rPr>
          <w:sz w:val="22"/>
          <w:szCs w:val="20"/>
        </w:rPr>
        <w:t xml:space="preserve"> utbredd</w:t>
      </w:r>
      <w:r>
        <w:rPr>
          <w:sz w:val="22"/>
          <w:szCs w:val="20"/>
        </w:rPr>
        <w:t xml:space="preserve"> och pandemin har på påskyndat processen. </w:t>
      </w:r>
      <w:r w:rsidR="0008207A">
        <w:rPr>
          <w:sz w:val="22"/>
          <w:szCs w:val="20"/>
        </w:rPr>
        <w:t>Hela</w:t>
      </w:r>
      <w:r>
        <w:rPr>
          <w:sz w:val="22"/>
          <w:szCs w:val="20"/>
        </w:rPr>
        <w:t xml:space="preserve"> 96 p</w:t>
      </w:r>
      <w:r w:rsidR="002742F3">
        <w:rPr>
          <w:sz w:val="22"/>
          <w:szCs w:val="20"/>
        </w:rPr>
        <w:t>r</w:t>
      </w:r>
      <w:r>
        <w:rPr>
          <w:sz w:val="22"/>
          <w:szCs w:val="20"/>
        </w:rPr>
        <w:t>ocent av</w:t>
      </w:r>
      <w:r w:rsidR="0008207A">
        <w:rPr>
          <w:sz w:val="22"/>
          <w:szCs w:val="20"/>
        </w:rPr>
        <w:t xml:space="preserve"> svarande svenskar</w:t>
      </w:r>
      <w:r>
        <w:rPr>
          <w:sz w:val="22"/>
          <w:szCs w:val="20"/>
        </w:rPr>
        <w:t xml:space="preserve"> uppgav i </w:t>
      </w:r>
      <w:r w:rsidR="002742F3">
        <w:rPr>
          <w:sz w:val="22"/>
          <w:szCs w:val="20"/>
        </w:rPr>
        <w:t xml:space="preserve">rapporten </w:t>
      </w:r>
      <w:r w:rsidR="00292368">
        <w:rPr>
          <w:sz w:val="22"/>
          <w:szCs w:val="20"/>
        </w:rPr>
        <w:t>’</w:t>
      </w:r>
      <w:r w:rsidR="002742F3">
        <w:rPr>
          <w:sz w:val="22"/>
          <w:szCs w:val="20"/>
        </w:rPr>
        <w:t>E-</w:t>
      </w:r>
      <w:proofErr w:type="spellStart"/>
      <w:r w:rsidR="002742F3">
        <w:rPr>
          <w:sz w:val="22"/>
          <w:szCs w:val="20"/>
        </w:rPr>
        <w:t>commerce</w:t>
      </w:r>
      <w:proofErr w:type="spellEnd"/>
      <w:r w:rsidR="002742F3">
        <w:rPr>
          <w:sz w:val="22"/>
          <w:szCs w:val="20"/>
        </w:rPr>
        <w:t xml:space="preserve"> in </w:t>
      </w:r>
      <w:proofErr w:type="spellStart"/>
      <w:r w:rsidR="002742F3">
        <w:rPr>
          <w:sz w:val="22"/>
          <w:szCs w:val="20"/>
        </w:rPr>
        <w:t>Europe</w:t>
      </w:r>
      <w:proofErr w:type="spellEnd"/>
      <w:r>
        <w:rPr>
          <w:sz w:val="22"/>
          <w:szCs w:val="20"/>
        </w:rPr>
        <w:t xml:space="preserve"> 2021</w:t>
      </w:r>
      <w:r w:rsidR="00292368">
        <w:rPr>
          <w:sz w:val="22"/>
          <w:szCs w:val="20"/>
        </w:rPr>
        <w:t>’</w:t>
      </w:r>
      <w:r>
        <w:rPr>
          <w:sz w:val="22"/>
          <w:szCs w:val="20"/>
        </w:rPr>
        <w:t xml:space="preserve"> att de </w:t>
      </w:r>
      <w:r w:rsidR="002742F3">
        <w:rPr>
          <w:sz w:val="22"/>
          <w:szCs w:val="20"/>
        </w:rPr>
        <w:t xml:space="preserve">någon gång under året E-handlat. Trots rekordåret 2020 har </w:t>
      </w:r>
      <w:r w:rsidR="0008207A">
        <w:rPr>
          <w:sz w:val="22"/>
          <w:szCs w:val="20"/>
        </w:rPr>
        <w:t xml:space="preserve">E-handeln </w:t>
      </w:r>
      <w:r w:rsidR="002742F3">
        <w:rPr>
          <w:sz w:val="22"/>
          <w:szCs w:val="20"/>
        </w:rPr>
        <w:t xml:space="preserve">2021 </w:t>
      </w:r>
      <w:r w:rsidR="005475B4">
        <w:rPr>
          <w:sz w:val="22"/>
          <w:szCs w:val="20"/>
        </w:rPr>
        <w:t>haft en</w:t>
      </w:r>
      <w:r w:rsidR="002742F3">
        <w:rPr>
          <w:sz w:val="22"/>
          <w:szCs w:val="20"/>
        </w:rPr>
        <w:t xml:space="preserve"> fortsatt tillväxt och utveckling</w:t>
      </w:r>
      <w:r w:rsidR="007E7348">
        <w:rPr>
          <w:sz w:val="22"/>
          <w:szCs w:val="20"/>
        </w:rPr>
        <w:t>.</w:t>
      </w:r>
      <w:r w:rsidR="00976B22">
        <w:rPr>
          <w:sz w:val="22"/>
          <w:szCs w:val="20"/>
        </w:rPr>
        <w:t xml:space="preserve"> </w:t>
      </w:r>
      <w:r w:rsidR="007E7348">
        <w:rPr>
          <w:sz w:val="22"/>
          <w:szCs w:val="20"/>
        </w:rPr>
        <w:t>Bland annat</w:t>
      </w:r>
      <w:r w:rsidR="00976B22">
        <w:rPr>
          <w:sz w:val="22"/>
          <w:szCs w:val="20"/>
        </w:rPr>
        <w:t xml:space="preserve"> börjar E-handeln växa </w:t>
      </w:r>
      <w:r w:rsidR="00292368">
        <w:rPr>
          <w:sz w:val="22"/>
          <w:szCs w:val="20"/>
        </w:rPr>
        <w:t>sig starkare bland</w:t>
      </w:r>
      <w:r w:rsidR="00976B22">
        <w:rPr>
          <w:sz w:val="22"/>
          <w:szCs w:val="20"/>
        </w:rPr>
        <w:t xml:space="preserve"> äldre och i mer avlägsna regioner och kommuner</w:t>
      </w:r>
      <w:r w:rsidR="0008207A">
        <w:rPr>
          <w:sz w:val="22"/>
          <w:szCs w:val="20"/>
        </w:rPr>
        <w:t>.</w:t>
      </w:r>
      <w:r w:rsidR="00976B22">
        <w:rPr>
          <w:sz w:val="22"/>
          <w:szCs w:val="20"/>
        </w:rPr>
        <w:t xml:space="preserve"> E-handeln gör allt</w:t>
      </w:r>
      <w:r w:rsidR="008D5766">
        <w:rPr>
          <w:sz w:val="22"/>
          <w:szCs w:val="20"/>
        </w:rPr>
        <w:t>,</w:t>
      </w:r>
      <w:r w:rsidR="00976B22">
        <w:rPr>
          <w:sz w:val="22"/>
          <w:szCs w:val="20"/>
        </w:rPr>
        <w:t xml:space="preserve"> som dessa regioner inte kan göra tillgängligt</w:t>
      </w:r>
      <w:r w:rsidR="008D5766">
        <w:rPr>
          <w:sz w:val="22"/>
          <w:szCs w:val="20"/>
        </w:rPr>
        <w:t>,</w:t>
      </w:r>
      <w:r w:rsidR="00976B22">
        <w:rPr>
          <w:sz w:val="22"/>
          <w:szCs w:val="20"/>
        </w:rPr>
        <w:t xml:space="preserve"> tillgängligt. En annan stark trend med påverkan på detaljhandeln är begagnatmarknaden som blomstrar på nätet. Varannan person som E-handlar har under 2021 även handlat begagnat online. Att det främst är unga som står för denna trend gör </w:t>
      </w:r>
      <w:r w:rsidR="0008207A">
        <w:rPr>
          <w:sz w:val="22"/>
          <w:szCs w:val="20"/>
        </w:rPr>
        <w:t>att</w:t>
      </w:r>
      <w:r w:rsidR="00976B22">
        <w:rPr>
          <w:sz w:val="22"/>
          <w:szCs w:val="20"/>
        </w:rPr>
        <w:t xml:space="preserve"> </w:t>
      </w:r>
      <w:r w:rsidR="0008207A">
        <w:rPr>
          <w:sz w:val="22"/>
          <w:szCs w:val="20"/>
        </w:rPr>
        <w:t>den</w:t>
      </w:r>
      <w:r w:rsidR="00201D1A">
        <w:rPr>
          <w:sz w:val="22"/>
          <w:szCs w:val="20"/>
        </w:rPr>
        <w:t xml:space="preserve"> sannolikt är</w:t>
      </w:r>
      <w:r w:rsidR="00976B22">
        <w:rPr>
          <w:sz w:val="22"/>
          <w:szCs w:val="20"/>
        </w:rPr>
        <w:t xml:space="preserve"> här för att stanna och att C2C marknaden kommer ha påverkan både på</w:t>
      </w:r>
      <w:r w:rsidR="008D5766">
        <w:rPr>
          <w:sz w:val="22"/>
          <w:szCs w:val="20"/>
        </w:rPr>
        <w:t xml:space="preserve"> såväl den</w:t>
      </w:r>
      <w:r w:rsidR="00976B22">
        <w:rPr>
          <w:sz w:val="22"/>
          <w:szCs w:val="20"/>
        </w:rPr>
        <w:t xml:space="preserve"> fysisk</w:t>
      </w:r>
      <w:r w:rsidR="008D5766">
        <w:rPr>
          <w:sz w:val="22"/>
          <w:szCs w:val="20"/>
        </w:rPr>
        <w:t>a</w:t>
      </w:r>
      <w:r w:rsidR="0008207A">
        <w:rPr>
          <w:sz w:val="22"/>
          <w:szCs w:val="20"/>
        </w:rPr>
        <w:t>-</w:t>
      </w:r>
      <w:r w:rsidR="00976B22">
        <w:rPr>
          <w:sz w:val="22"/>
          <w:szCs w:val="20"/>
        </w:rPr>
        <w:t xml:space="preserve"> </w:t>
      </w:r>
      <w:r w:rsidR="0008207A">
        <w:rPr>
          <w:sz w:val="22"/>
          <w:szCs w:val="20"/>
        </w:rPr>
        <w:t>som</w:t>
      </w:r>
      <w:r w:rsidR="00976B22">
        <w:rPr>
          <w:sz w:val="22"/>
          <w:szCs w:val="20"/>
        </w:rPr>
        <w:t xml:space="preserve"> e-handel</w:t>
      </w:r>
      <w:r w:rsidR="008D5766">
        <w:rPr>
          <w:sz w:val="22"/>
          <w:szCs w:val="20"/>
        </w:rPr>
        <w:t>n</w:t>
      </w:r>
      <w:r w:rsidR="00976B22">
        <w:rPr>
          <w:sz w:val="22"/>
          <w:szCs w:val="20"/>
        </w:rPr>
        <w:t>.</w:t>
      </w:r>
    </w:p>
    <w:p w14:paraId="6497B843" w14:textId="76FDA824" w:rsidR="001C0445" w:rsidRDefault="00EC52CA" w:rsidP="00303D01">
      <w:pPr>
        <w:spacing w:after="120"/>
        <w:jc w:val="both"/>
        <w:rPr>
          <w:i/>
          <w:sz w:val="20"/>
          <w:szCs w:val="20"/>
        </w:rPr>
      </w:pPr>
      <w:r w:rsidRPr="00AA043D">
        <w:rPr>
          <w:i/>
          <w:sz w:val="20"/>
          <w:szCs w:val="20"/>
        </w:rPr>
        <w:t xml:space="preserve">Källa: </w:t>
      </w:r>
      <w:proofErr w:type="spellStart"/>
      <w:r w:rsidR="004B13EA" w:rsidRPr="00AA043D">
        <w:rPr>
          <w:i/>
          <w:sz w:val="20"/>
          <w:szCs w:val="20"/>
        </w:rPr>
        <w:t>PostNord</w:t>
      </w:r>
      <w:proofErr w:type="spellEnd"/>
      <w:r w:rsidR="004B13EA" w:rsidRPr="00AA043D">
        <w:rPr>
          <w:i/>
          <w:sz w:val="20"/>
          <w:szCs w:val="20"/>
        </w:rPr>
        <w:t xml:space="preserve">, </w:t>
      </w:r>
      <w:r w:rsidRPr="00AA043D">
        <w:rPr>
          <w:i/>
          <w:sz w:val="20"/>
          <w:szCs w:val="20"/>
        </w:rPr>
        <w:t xml:space="preserve">E-barometern Årsrapport </w:t>
      </w:r>
      <w:r w:rsidR="00360C53">
        <w:rPr>
          <w:i/>
          <w:sz w:val="20"/>
          <w:szCs w:val="20"/>
        </w:rPr>
        <w:t>202</w:t>
      </w:r>
      <w:r w:rsidR="00094E99">
        <w:rPr>
          <w:i/>
          <w:sz w:val="20"/>
          <w:szCs w:val="20"/>
        </w:rPr>
        <w:t>2</w:t>
      </w:r>
      <w:r w:rsidR="0023214C" w:rsidRPr="00AA043D">
        <w:rPr>
          <w:i/>
          <w:sz w:val="20"/>
          <w:szCs w:val="20"/>
        </w:rPr>
        <w:t>.</w:t>
      </w:r>
    </w:p>
    <w:p w14:paraId="21FCB6CD" w14:textId="158DD425" w:rsidR="001C0445" w:rsidRDefault="001C0445" w:rsidP="001C044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1C54A1B7" w14:textId="67026E6A" w:rsidR="001C0445" w:rsidRDefault="001C0445" w:rsidP="001C0445">
      <w:pPr>
        <w:spacing w:after="120" w:line="276" w:lineRule="auto"/>
        <w:jc w:val="both"/>
        <w:rPr>
          <w:b/>
          <w:sz w:val="24"/>
          <w:szCs w:val="20"/>
        </w:rPr>
      </w:pPr>
      <w:r w:rsidRPr="001C0445">
        <w:rPr>
          <w:b/>
          <w:bCs/>
          <w:szCs w:val="20"/>
        </w:rPr>
        <w:lastRenderedPageBreak/>
        <w:t>202</w:t>
      </w:r>
      <w:r w:rsidR="00780E04">
        <w:rPr>
          <w:b/>
          <w:bCs/>
          <w:szCs w:val="20"/>
        </w:rPr>
        <w:t>2</w:t>
      </w:r>
      <w:r>
        <w:rPr>
          <w:b/>
          <w:bCs/>
          <w:szCs w:val="20"/>
        </w:rPr>
        <w:t>:</w:t>
      </w:r>
      <w:r w:rsidRPr="001C0445">
        <w:rPr>
          <w:b/>
          <w:bCs/>
          <w:sz w:val="24"/>
          <w:szCs w:val="20"/>
        </w:rPr>
        <w:t xml:space="preserve"> </w:t>
      </w:r>
      <w:r>
        <w:rPr>
          <w:b/>
          <w:sz w:val="24"/>
          <w:szCs w:val="20"/>
        </w:rPr>
        <w:t>Gränshandelns återkomst?</w:t>
      </w:r>
    </w:p>
    <w:p w14:paraId="10101C41" w14:textId="4DD35F1D" w:rsidR="00CE1FEC" w:rsidRDefault="00AD3415" w:rsidP="001C0445">
      <w:pPr>
        <w:spacing w:after="120" w:line="276" w:lineRule="auto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>2020–2021</w:t>
      </w:r>
      <w:r w:rsidR="00780E04">
        <w:rPr>
          <w:bCs/>
          <w:sz w:val="24"/>
          <w:szCs w:val="20"/>
        </w:rPr>
        <w:t xml:space="preserve"> gick gränshandeln på knäna när pandemin och restriktioner stängde ner gränserna mellan Sverige och Norge</w:t>
      </w:r>
      <w:r w:rsidR="008F06B5">
        <w:rPr>
          <w:bCs/>
          <w:sz w:val="24"/>
          <w:szCs w:val="20"/>
        </w:rPr>
        <w:t xml:space="preserve">, likaså mellan </w:t>
      </w:r>
      <w:r w:rsidR="00291CAB">
        <w:rPr>
          <w:bCs/>
          <w:sz w:val="24"/>
          <w:szCs w:val="20"/>
        </w:rPr>
        <w:t>Sverige och våra andra granna</w:t>
      </w:r>
      <w:r w:rsidR="00565E21">
        <w:rPr>
          <w:bCs/>
          <w:sz w:val="24"/>
          <w:szCs w:val="20"/>
        </w:rPr>
        <w:t>r</w:t>
      </w:r>
      <w:r w:rsidR="00291CAB">
        <w:rPr>
          <w:bCs/>
          <w:sz w:val="24"/>
          <w:szCs w:val="20"/>
        </w:rPr>
        <w:t xml:space="preserve"> Finland och Danmark</w:t>
      </w:r>
      <w:r w:rsidR="00780E04">
        <w:rPr>
          <w:bCs/>
          <w:sz w:val="24"/>
          <w:szCs w:val="20"/>
        </w:rPr>
        <w:t xml:space="preserve">. Före pandemin stod </w:t>
      </w:r>
      <w:r>
        <w:rPr>
          <w:bCs/>
          <w:sz w:val="24"/>
          <w:szCs w:val="20"/>
        </w:rPr>
        <w:t>norrmännen</w:t>
      </w:r>
      <w:r w:rsidR="00780E04">
        <w:rPr>
          <w:bCs/>
          <w:sz w:val="24"/>
          <w:szCs w:val="20"/>
        </w:rPr>
        <w:t xml:space="preserve"> för hela 4 procent av Sveriges totala detaljhandelsförsäljning och spenderade 27,9 miljarder kronor inom den svenska detaljhandeln.</w:t>
      </w:r>
      <w:r w:rsidR="00CE1FEC">
        <w:rPr>
          <w:bCs/>
          <w:sz w:val="24"/>
          <w:szCs w:val="20"/>
        </w:rPr>
        <w:t xml:space="preserve"> Det är de stora prisskillnaderna mellan Norge och Sverige som lockar de norska konsumenterna över gränsen och då specifikt dagligvaror</w:t>
      </w:r>
      <w:r w:rsidR="008D7244">
        <w:rPr>
          <w:bCs/>
          <w:sz w:val="24"/>
          <w:szCs w:val="20"/>
        </w:rPr>
        <w:t>.</w:t>
      </w:r>
      <w:r w:rsidR="00CE1FEC">
        <w:rPr>
          <w:bCs/>
          <w:sz w:val="24"/>
          <w:szCs w:val="20"/>
        </w:rPr>
        <w:t xml:space="preserve"> </w:t>
      </w:r>
      <w:r w:rsidR="008D7244">
        <w:rPr>
          <w:bCs/>
          <w:sz w:val="24"/>
          <w:szCs w:val="20"/>
        </w:rPr>
        <w:t>T</w:t>
      </w:r>
      <w:r w:rsidR="00CE1FEC">
        <w:rPr>
          <w:bCs/>
          <w:sz w:val="24"/>
          <w:szCs w:val="20"/>
        </w:rPr>
        <w:t>obak och alkohol är speciellt populär</w:t>
      </w:r>
      <w:r w:rsidR="007D3E32">
        <w:rPr>
          <w:bCs/>
          <w:sz w:val="24"/>
          <w:szCs w:val="20"/>
        </w:rPr>
        <w:t>a</w:t>
      </w:r>
      <w:r w:rsidR="00CE1FEC">
        <w:rPr>
          <w:bCs/>
          <w:sz w:val="24"/>
          <w:szCs w:val="20"/>
        </w:rPr>
        <w:t xml:space="preserve"> men även mejeriprodukter är </w:t>
      </w:r>
      <w:r w:rsidR="007D3E32">
        <w:rPr>
          <w:bCs/>
          <w:sz w:val="24"/>
          <w:szCs w:val="20"/>
        </w:rPr>
        <w:t xml:space="preserve">till exempel </w:t>
      </w:r>
      <w:r w:rsidR="00CE1FEC">
        <w:rPr>
          <w:bCs/>
          <w:sz w:val="24"/>
          <w:szCs w:val="20"/>
        </w:rPr>
        <w:t>35 procent billigare i Sverige</w:t>
      </w:r>
      <w:r w:rsidR="004A2D07">
        <w:rPr>
          <w:bCs/>
          <w:sz w:val="24"/>
          <w:szCs w:val="20"/>
        </w:rPr>
        <w:t xml:space="preserve"> än i Norge</w:t>
      </w:r>
      <w:r w:rsidR="00CE1FEC">
        <w:rPr>
          <w:bCs/>
          <w:sz w:val="24"/>
          <w:szCs w:val="20"/>
        </w:rPr>
        <w:t>.</w:t>
      </w:r>
    </w:p>
    <w:p w14:paraId="04805946" w14:textId="78FD91A8" w:rsidR="00CE1FEC" w:rsidRDefault="00CE1FEC" w:rsidP="001C0445">
      <w:pPr>
        <w:spacing w:after="120" w:line="276" w:lineRule="auto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Under pandemin försvann i stort sett </w:t>
      </w:r>
      <w:r w:rsidR="00CE77D5">
        <w:rPr>
          <w:bCs/>
          <w:sz w:val="24"/>
          <w:szCs w:val="20"/>
        </w:rPr>
        <w:t xml:space="preserve">alla </w:t>
      </w:r>
      <w:r w:rsidR="00A22A3F">
        <w:rPr>
          <w:bCs/>
          <w:sz w:val="24"/>
          <w:szCs w:val="20"/>
        </w:rPr>
        <w:t>norska</w:t>
      </w:r>
      <w:r w:rsidR="00CE77D5">
        <w:rPr>
          <w:bCs/>
          <w:sz w:val="24"/>
          <w:szCs w:val="20"/>
        </w:rPr>
        <w:t xml:space="preserve"> besök i gränshandeln och Strömstad</w:t>
      </w:r>
      <w:r w:rsidR="004A2D07">
        <w:rPr>
          <w:bCs/>
          <w:sz w:val="24"/>
          <w:szCs w:val="20"/>
        </w:rPr>
        <w:t>,</w:t>
      </w:r>
      <w:r w:rsidR="00CE77D5">
        <w:rPr>
          <w:bCs/>
          <w:sz w:val="24"/>
          <w:szCs w:val="20"/>
        </w:rPr>
        <w:t xml:space="preserve"> där störst del av gränshandeln sker</w:t>
      </w:r>
      <w:r w:rsidR="004A2D07">
        <w:rPr>
          <w:bCs/>
          <w:sz w:val="24"/>
          <w:szCs w:val="20"/>
        </w:rPr>
        <w:t>,</w:t>
      </w:r>
      <w:r w:rsidR="00CE77D5">
        <w:rPr>
          <w:bCs/>
          <w:sz w:val="24"/>
          <w:szCs w:val="20"/>
        </w:rPr>
        <w:t xml:space="preserve"> tappade nästan 70 procent av sin detaljhandelsförsäljning</w:t>
      </w:r>
      <w:r w:rsidR="004A2D07">
        <w:rPr>
          <w:bCs/>
          <w:sz w:val="24"/>
          <w:szCs w:val="20"/>
        </w:rPr>
        <w:t xml:space="preserve"> </w:t>
      </w:r>
      <w:r w:rsidR="00CE77D5">
        <w:rPr>
          <w:bCs/>
          <w:sz w:val="24"/>
          <w:szCs w:val="20"/>
        </w:rPr>
        <w:t>2020. De största gränshandelskommunerna under 2020 upplevde ett tapp på -53 procent på dagligvaror.</w:t>
      </w:r>
      <w:r w:rsidR="008973E2">
        <w:rPr>
          <w:bCs/>
          <w:sz w:val="24"/>
          <w:szCs w:val="20"/>
        </w:rPr>
        <w:t xml:space="preserve"> </w:t>
      </w:r>
    </w:p>
    <w:p w14:paraId="43AC12C0" w14:textId="430BE4C7" w:rsidR="00780E04" w:rsidRDefault="00CE1FEC" w:rsidP="001C0445">
      <w:pPr>
        <w:spacing w:after="120" w:line="276" w:lineRule="auto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>Nu när restriktionerna slopats och gränserna återigen öppnats kommer gränshandeln sannolikt få ett uppsving igen</w:t>
      </w:r>
      <w:r w:rsidR="004374BE">
        <w:rPr>
          <w:bCs/>
          <w:sz w:val="24"/>
          <w:szCs w:val="20"/>
        </w:rPr>
        <w:t>. S</w:t>
      </w:r>
      <w:r w:rsidR="0059791D">
        <w:rPr>
          <w:bCs/>
          <w:sz w:val="24"/>
          <w:szCs w:val="20"/>
        </w:rPr>
        <w:t>annolikt</w:t>
      </w:r>
      <w:r w:rsidR="004374BE">
        <w:rPr>
          <w:bCs/>
          <w:sz w:val="24"/>
          <w:szCs w:val="20"/>
        </w:rPr>
        <w:t xml:space="preserve"> kommer</w:t>
      </w:r>
      <w:r w:rsidR="0059791D">
        <w:rPr>
          <w:bCs/>
          <w:sz w:val="24"/>
          <w:szCs w:val="20"/>
        </w:rPr>
        <w:t xml:space="preserve"> gränshandeln börja återgå t</w:t>
      </w:r>
      <w:r w:rsidR="00A9120A">
        <w:rPr>
          <w:bCs/>
          <w:sz w:val="24"/>
          <w:szCs w:val="20"/>
        </w:rPr>
        <w:t xml:space="preserve">ill en nivå mer lik </w:t>
      </w:r>
      <w:r w:rsidR="004374BE">
        <w:rPr>
          <w:bCs/>
          <w:sz w:val="24"/>
          <w:szCs w:val="20"/>
        </w:rPr>
        <w:t xml:space="preserve">den </w:t>
      </w:r>
      <w:r w:rsidR="00A9120A">
        <w:rPr>
          <w:bCs/>
          <w:sz w:val="24"/>
          <w:szCs w:val="20"/>
        </w:rPr>
        <w:t>2019. Redan under 2021</w:t>
      </w:r>
      <w:r w:rsidR="004374BE">
        <w:rPr>
          <w:bCs/>
          <w:sz w:val="24"/>
          <w:szCs w:val="20"/>
        </w:rPr>
        <w:t>s</w:t>
      </w:r>
      <w:r w:rsidR="00A9120A">
        <w:rPr>
          <w:bCs/>
          <w:sz w:val="24"/>
          <w:szCs w:val="20"/>
        </w:rPr>
        <w:t xml:space="preserve"> tredje kvartal</w:t>
      </w:r>
      <w:r w:rsidR="004374BE">
        <w:rPr>
          <w:bCs/>
          <w:sz w:val="24"/>
          <w:szCs w:val="20"/>
        </w:rPr>
        <w:t>,</w:t>
      </w:r>
      <w:r w:rsidR="00A9120A">
        <w:rPr>
          <w:bCs/>
          <w:sz w:val="24"/>
          <w:szCs w:val="20"/>
        </w:rPr>
        <w:t xml:space="preserve"> när restriktionerna började lätt</w:t>
      </w:r>
      <w:r w:rsidR="002F6C26">
        <w:rPr>
          <w:bCs/>
          <w:sz w:val="24"/>
          <w:szCs w:val="20"/>
        </w:rPr>
        <w:t>a</w:t>
      </w:r>
      <w:r w:rsidR="004374BE">
        <w:rPr>
          <w:bCs/>
          <w:sz w:val="24"/>
          <w:szCs w:val="20"/>
        </w:rPr>
        <w:t>,</w:t>
      </w:r>
      <w:r w:rsidR="002F6C26">
        <w:rPr>
          <w:bCs/>
          <w:sz w:val="24"/>
          <w:szCs w:val="20"/>
        </w:rPr>
        <w:t xml:space="preserve"> syntes en direkt ökning i gränshandeln</w:t>
      </w:r>
      <w:r w:rsidR="005B5BB2">
        <w:rPr>
          <w:bCs/>
          <w:sz w:val="24"/>
          <w:szCs w:val="20"/>
        </w:rPr>
        <w:t>. Dagligvaruhandeln</w:t>
      </w:r>
      <w:r w:rsidR="00B2664A">
        <w:rPr>
          <w:bCs/>
          <w:sz w:val="24"/>
          <w:szCs w:val="20"/>
        </w:rPr>
        <w:t>s försäljning</w:t>
      </w:r>
      <w:r w:rsidR="005B5BB2">
        <w:rPr>
          <w:bCs/>
          <w:sz w:val="24"/>
          <w:szCs w:val="20"/>
        </w:rPr>
        <w:t xml:space="preserve"> ökade </w:t>
      </w:r>
      <w:r w:rsidR="00B2664A">
        <w:rPr>
          <w:bCs/>
          <w:sz w:val="24"/>
          <w:szCs w:val="20"/>
        </w:rPr>
        <w:t xml:space="preserve">tredje kvartalet 2021 med 13 procent jämfört med samma period 2020 medan den till hela riket sett endast ökade med 1,1 procent. En tydlig indikator på att </w:t>
      </w:r>
      <w:r w:rsidR="00A43D9B">
        <w:rPr>
          <w:bCs/>
          <w:sz w:val="24"/>
          <w:szCs w:val="20"/>
        </w:rPr>
        <w:t>suget efter svenska gränsvaror finns kvar och nu när al</w:t>
      </w:r>
      <w:r w:rsidR="00AD3415">
        <w:rPr>
          <w:bCs/>
          <w:sz w:val="24"/>
          <w:szCs w:val="20"/>
        </w:rPr>
        <w:t>la restriktioner släpptes 12e februari säkerligen kommer fortsätta öka.</w:t>
      </w:r>
    </w:p>
    <w:p w14:paraId="2CFEDD75" w14:textId="77777777" w:rsidR="00F36831" w:rsidRPr="00780E04" w:rsidRDefault="00F36831" w:rsidP="001C0445">
      <w:pPr>
        <w:spacing w:after="120" w:line="276" w:lineRule="auto"/>
        <w:jc w:val="both"/>
        <w:rPr>
          <w:bCs/>
          <w:i/>
          <w:sz w:val="20"/>
          <w:szCs w:val="20"/>
        </w:rPr>
      </w:pPr>
    </w:p>
    <w:p w14:paraId="74B2913C" w14:textId="105FAAC8" w:rsidR="00930C13" w:rsidRPr="009D4D28" w:rsidRDefault="00F36831" w:rsidP="00303D01">
      <w:pPr>
        <w:spacing w:after="120"/>
        <w:jc w:val="both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412768F6" wp14:editId="41841F67">
            <wp:extent cx="5495925" cy="249555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94023BE-76DF-427A-8AB7-45A2743127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30C13">
        <w:rPr>
          <w:b/>
          <w:sz w:val="24"/>
          <w:szCs w:val="20"/>
        </w:rPr>
        <w:br w:type="page"/>
      </w:r>
    </w:p>
    <w:p w14:paraId="216D95B4" w14:textId="32D01B42" w:rsidR="0096264A" w:rsidRPr="00AA043D" w:rsidRDefault="008D0CA8" w:rsidP="00303D01">
      <w:pPr>
        <w:spacing w:after="120"/>
        <w:jc w:val="both"/>
        <w:rPr>
          <w:b/>
          <w:sz w:val="24"/>
          <w:szCs w:val="20"/>
        </w:rPr>
      </w:pPr>
      <w:r w:rsidRPr="00AA043D">
        <w:rPr>
          <w:b/>
          <w:sz w:val="24"/>
          <w:szCs w:val="20"/>
        </w:rPr>
        <w:lastRenderedPageBreak/>
        <w:t xml:space="preserve">Detaljhandeln i </w:t>
      </w:r>
      <w:r w:rsidR="0096264A" w:rsidRPr="00AA043D">
        <w:rPr>
          <w:b/>
          <w:sz w:val="24"/>
          <w:szCs w:val="20"/>
        </w:rPr>
        <w:t>Västra Götaland</w:t>
      </w:r>
      <w:r w:rsidRPr="00AA043D">
        <w:rPr>
          <w:b/>
          <w:sz w:val="24"/>
          <w:szCs w:val="20"/>
        </w:rPr>
        <w:t xml:space="preserve"> </w:t>
      </w:r>
      <w:r w:rsidR="001E11F5" w:rsidRPr="00AA043D">
        <w:rPr>
          <w:b/>
          <w:sz w:val="24"/>
          <w:szCs w:val="20"/>
        </w:rPr>
        <w:t>20</w:t>
      </w:r>
      <w:r w:rsidR="00EB7B60">
        <w:rPr>
          <w:b/>
          <w:sz w:val="24"/>
          <w:szCs w:val="20"/>
        </w:rPr>
        <w:t>20</w:t>
      </w:r>
    </w:p>
    <w:p w14:paraId="31B9FE89" w14:textId="5D00E6D8" w:rsidR="00F443E1" w:rsidRPr="00094E99" w:rsidRDefault="00F443E1" w:rsidP="00094E99">
      <w:pPr>
        <w:pStyle w:val="huvudrubrik"/>
        <w:spacing w:before="0" w:beforeAutospacing="0" w:after="12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AA043D">
        <w:rPr>
          <w:rFonts w:asciiTheme="minorHAnsi" w:hAnsiTheme="minorHAnsi" w:cstheme="minorHAnsi"/>
          <w:sz w:val="28"/>
          <w:szCs w:val="28"/>
        </w:rPr>
        <w:t>Detaljhandeln i Västra Götalands län omsätter</w:t>
      </w:r>
      <w:r w:rsidR="00E05454" w:rsidRPr="00AA043D">
        <w:rPr>
          <w:rFonts w:asciiTheme="minorHAnsi" w:hAnsiTheme="minorHAnsi" w:cstheme="minorHAnsi"/>
          <w:sz w:val="28"/>
          <w:szCs w:val="28"/>
        </w:rPr>
        <w:t xml:space="preserve"> nästan</w:t>
      </w:r>
      <w:r w:rsidRPr="00AA043D">
        <w:rPr>
          <w:rFonts w:asciiTheme="minorHAnsi" w:hAnsiTheme="minorHAnsi" w:cstheme="minorHAnsi"/>
          <w:sz w:val="28"/>
          <w:szCs w:val="28"/>
        </w:rPr>
        <w:t xml:space="preserve"> 1</w:t>
      </w:r>
      <w:r w:rsidR="00E05454" w:rsidRPr="00AA043D">
        <w:rPr>
          <w:rFonts w:asciiTheme="minorHAnsi" w:hAnsiTheme="minorHAnsi" w:cstheme="minorHAnsi"/>
          <w:sz w:val="28"/>
          <w:szCs w:val="28"/>
        </w:rPr>
        <w:t>20</w:t>
      </w:r>
      <w:r w:rsidRPr="00AA043D">
        <w:rPr>
          <w:rFonts w:asciiTheme="minorHAnsi" w:hAnsiTheme="minorHAnsi" w:cstheme="minorHAnsi"/>
          <w:sz w:val="28"/>
          <w:szCs w:val="28"/>
        </w:rPr>
        <w:t xml:space="preserve"> miljarder kronor  </w:t>
      </w:r>
    </w:p>
    <w:p w14:paraId="2762C67C" w14:textId="16EF00B7" w:rsidR="00F72E35" w:rsidRDefault="00F72E35" w:rsidP="00303D01">
      <w:pPr>
        <w:spacing w:after="120" w:line="276" w:lineRule="auto"/>
        <w:jc w:val="both"/>
        <w:rPr>
          <w:rFonts w:cstheme="minorHAnsi"/>
          <w:i/>
          <w:iCs/>
        </w:rPr>
      </w:pPr>
      <w:r w:rsidRPr="00AA043D">
        <w:rPr>
          <w:rFonts w:cstheme="minorHAnsi"/>
          <w:i/>
          <w:iCs/>
        </w:rPr>
        <w:t xml:space="preserve">Handeln fördelat på regional nivå för </w:t>
      </w:r>
      <w:r w:rsidR="00360C53">
        <w:rPr>
          <w:rFonts w:cstheme="minorHAnsi"/>
          <w:i/>
          <w:iCs/>
        </w:rPr>
        <w:t>2021</w:t>
      </w:r>
      <w:r w:rsidRPr="00AA043D">
        <w:rPr>
          <w:rFonts w:cstheme="minorHAnsi"/>
          <w:i/>
          <w:iCs/>
        </w:rPr>
        <w:t xml:space="preserve"> offentliggörs först under hösten </w:t>
      </w:r>
      <w:r w:rsidR="00360C53">
        <w:rPr>
          <w:rFonts w:cstheme="minorHAnsi"/>
          <w:i/>
          <w:iCs/>
        </w:rPr>
        <w:t>2021</w:t>
      </w:r>
      <w:r w:rsidRPr="00AA043D">
        <w:rPr>
          <w:rFonts w:cstheme="minorHAnsi"/>
          <w:i/>
          <w:iCs/>
        </w:rPr>
        <w:t>.</w:t>
      </w:r>
    </w:p>
    <w:p w14:paraId="69FB213A" w14:textId="72C68E02" w:rsidR="00E810A1" w:rsidRDefault="00E810A1" w:rsidP="00303D01">
      <w:pPr>
        <w:spacing w:after="120" w:line="276" w:lineRule="auto"/>
        <w:jc w:val="both"/>
        <w:rPr>
          <w:rFonts w:cstheme="minorHAnsi"/>
        </w:rPr>
      </w:pPr>
      <w:r w:rsidRPr="009175DE">
        <w:rPr>
          <w:rFonts w:cstheme="minorHAnsi"/>
        </w:rPr>
        <w:t xml:space="preserve">Under 2020 omsatte detaljhandel i Västra Götalands län </w:t>
      </w:r>
      <w:r w:rsidR="00D37DAB" w:rsidRPr="009175DE">
        <w:rPr>
          <w:rFonts w:cstheme="minorHAnsi"/>
        </w:rPr>
        <w:t xml:space="preserve">116,1 miljarder kronor. Det är en minskning från 2019 </w:t>
      </w:r>
      <w:r w:rsidR="00886A29" w:rsidRPr="009175DE">
        <w:rPr>
          <w:rFonts w:cstheme="minorHAnsi"/>
        </w:rPr>
        <w:t>med 3 procent</w:t>
      </w:r>
      <w:r w:rsidR="004149BE" w:rsidRPr="009175DE">
        <w:rPr>
          <w:rFonts w:cstheme="minorHAnsi"/>
        </w:rPr>
        <w:t xml:space="preserve"> (</w:t>
      </w:r>
      <w:r w:rsidR="001D501C" w:rsidRPr="009175DE">
        <w:rPr>
          <w:rFonts w:cstheme="minorHAnsi"/>
        </w:rPr>
        <w:t xml:space="preserve">från </w:t>
      </w:r>
      <w:r w:rsidR="004149BE" w:rsidRPr="009175DE">
        <w:rPr>
          <w:rFonts w:cstheme="minorHAnsi"/>
        </w:rPr>
        <w:t>119,8 miljarder).</w:t>
      </w:r>
      <w:r w:rsidR="0028051B" w:rsidRPr="009175DE">
        <w:rPr>
          <w:rFonts w:cstheme="minorHAnsi"/>
        </w:rPr>
        <w:t xml:space="preserve"> Störst omsättning hade</w:t>
      </w:r>
      <w:r w:rsidR="00093E5C" w:rsidRPr="009175DE">
        <w:rPr>
          <w:rFonts w:cstheme="minorHAnsi"/>
        </w:rPr>
        <w:t xml:space="preserve"> Göteborg med 44 miljarder</w:t>
      </w:r>
      <w:r w:rsidR="0041500F" w:rsidRPr="009175DE">
        <w:rPr>
          <w:rFonts w:cstheme="minorHAnsi"/>
        </w:rPr>
        <w:t xml:space="preserve"> kronor och ökade</w:t>
      </w:r>
      <w:r w:rsidR="006E353F" w:rsidRPr="009175DE">
        <w:rPr>
          <w:rFonts w:cstheme="minorHAnsi"/>
        </w:rPr>
        <w:t>, jämfört med länet,</w:t>
      </w:r>
      <w:r w:rsidR="0041500F" w:rsidRPr="009175DE">
        <w:rPr>
          <w:rFonts w:cstheme="minorHAnsi"/>
        </w:rPr>
        <w:t xml:space="preserve"> sin omsättning</w:t>
      </w:r>
      <w:r w:rsidR="006E353F" w:rsidRPr="009175DE">
        <w:rPr>
          <w:rFonts w:cstheme="minorHAnsi"/>
        </w:rPr>
        <w:t xml:space="preserve"> med 1 procent från förra året.</w:t>
      </w:r>
      <w:r w:rsidR="00271359" w:rsidRPr="009175DE">
        <w:rPr>
          <w:rFonts w:cstheme="minorHAnsi"/>
        </w:rPr>
        <w:t xml:space="preserve"> Efter storstaden kommer Borås på 7,8 miljarder, tätt följd av Uddevalla </w:t>
      </w:r>
      <w:r w:rsidR="005F2D15" w:rsidRPr="009175DE">
        <w:rPr>
          <w:rFonts w:cstheme="minorHAnsi"/>
        </w:rPr>
        <w:t xml:space="preserve">med 5,8 miljarder kronor. </w:t>
      </w:r>
      <w:r w:rsidR="00E77AD1" w:rsidRPr="009175DE">
        <w:rPr>
          <w:rFonts w:cstheme="minorHAnsi"/>
        </w:rPr>
        <w:t xml:space="preserve">Starkast utveckling i länet 2019/2020 hade Essunga med </w:t>
      </w:r>
      <w:r w:rsidR="003E7282" w:rsidRPr="009175DE">
        <w:rPr>
          <w:rFonts w:cstheme="minorHAnsi"/>
        </w:rPr>
        <w:t>13,8% (en</w:t>
      </w:r>
      <w:r w:rsidR="00AB3C90" w:rsidRPr="009175DE">
        <w:rPr>
          <w:rFonts w:cstheme="minorHAnsi"/>
        </w:rPr>
        <w:t xml:space="preserve"> motsvarande</w:t>
      </w:r>
      <w:r w:rsidR="003E7282" w:rsidRPr="009175DE">
        <w:rPr>
          <w:rFonts w:cstheme="minorHAnsi"/>
        </w:rPr>
        <w:t xml:space="preserve"> ökning med 28 miljoner)</w:t>
      </w:r>
      <w:r w:rsidR="00AB3C90" w:rsidRPr="009175DE">
        <w:rPr>
          <w:rFonts w:cstheme="minorHAnsi"/>
        </w:rPr>
        <w:t>.</w:t>
      </w:r>
    </w:p>
    <w:p w14:paraId="497309D6" w14:textId="7C9CA91C" w:rsidR="00444779" w:rsidRDefault="008D5766" w:rsidP="00303D01">
      <w:pPr>
        <w:spacing w:after="120" w:line="276" w:lineRule="auto"/>
        <w:jc w:val="both"/>
      </w:pPr>
      <w:r>
        <w:rPr>
          <w:rFonts w:cstheme="minorHAnsi"/>
        </w:rPr>
        <w:t>D</w:t>
      </w:r>
      <w:r w:rsidR="00930C13">
        <w:rPr>
          <w:rFonts w:cstheme="minorHAnsi"/>
        </w:rPr>
        <w:t>etaljhandeln i Västra Götaland under 2021</w:t>
      </w:r>
      <w:r>
        <w:rPr>
          <w:rFonts w:cstheme="minorHAnsi"/>
        </w:rPr>
        <w:t xml:space="preserve"> har varit händelserikt</w:t>
      </w:r>
      <w:r w:rsidR="00930C13">
        <w:rPr>
          <w:rFonts w:cstheme="minorHAnsi"/>
        </w:rPr>
        <w:t xml:space="preserve">. I de utvecklingsprojekt som drivits i Västra Götaland under 2021 har mycket hänt. Bland annat har ett projekt Överby köpcentrum i </w:t>
      </w:r>
      <w:r w:rsidR="00BD2D8B">
        <w:rPr>
          <w:rFonts w:cstheme="minorHAnsi"/>
        </w:rPr>
        <w:t>Trollhättan</w:t>
      </w:r>
      <w:r w:rsidR="00930C13">
        <w:rPr>
          <w:rFonts w:cstheme="minorHAnsi"/>
        </w:rPr>
        <w:t xml:space="preserve"> färdigställts i och med </w:t>
      </w:r>
      <w:proofErr w:type="spellStart"/>
      <w:r w:rsidR="00930C13">
        <w:rPr>
          <w:rFonts w:cstheme="minorHAnsi"/>
        </w:rPr>
        <w:t>Hornbachs</w:t>
      </w:r>
      <w:proofErr w:type="spellEnd"/>
      <w:r w:rsidR="00930C13">
        <w:rPr>
          <w:rFonts w:cstheme="minorHAnsi"/>
        </w:rPr>
        <w:t xml:space="preserve"> öppning i juni. </w:t>
      </w:r>
      <w:r w:rsidR="00930C13">
        <w:t>Torp köpcentrum i Uddevalla</w:t>
      </w:r>
      <w:r>
        <w:t>,</w:t>
      </w:r>
      <w:r w:rsidR="00930C13">
        <w:t xml:space="preserve"> som byggts</w:t>
      </w:r>
      <w:r w:rsidR="00557A3A">
        <w:t xml:space="preserve"> om</w:t>
      </w:r>
      <w:r w:rsidR="00930C13">
        <w:t xml:space="preserve"> i etapper</w:t>
      </w:r>
      <w:r>
        <w:t>,</w:t>
      </w:r>
      <w:r w:rsidR="00930C13">
        <w:t xml:space="preserve"> har färdigställt etapp fyra under 2021 och räknar med att fem kommer färdigställas under 2022. Bland annat är det planerat för </w:t>
      </w:r>
      <w:r w:rsidR="00BD2D8B">
        <w:t>Åhléns</w:t>
      </w:r>
      <w:r w:rsidR="00930C13">
        <w:t xml:space="preserve"> och Chili att öppna till påsken 2022 med fler följande etableringar. Handelsplatsen i helhet tillhör landets 15 största handelsområden (inklusive </w:t>
      </w:r>
      <w:r w:rsidR="00EC2600">
        <w:t>Ö</w:t>
      </w:r>
      <w:r w:rsidR="00930C13">
        <w:t>stra torp).</w:t>
      </w:r>
      <w:r w:rsidR="00930C13" w:rsidRPr="00AA043D">
        <w:t xml:space="preserve"> </w:t>
      </w:r>
    </w:p>
    <w:p w14:paraId="36EC70C2" w14:textId="767B89E7" w:rsidR="00930C13" w:rsidRPr="002A6759" w:rsidRDefault="00930C13" w:rsidP="00303D01">
      <w:pPr>
        <w:spacing w:after="120" w:line="276" w:lineRule="auto"/>
        <w:jc w:val="both"/>
        <w:rPr>
          <w:rFonts w:cstheme="minorHAnsi"/>
        </w:rPr>
      </w:pPr>
      <w:r>
        <w:t xml:space="preserve">I Skövde vid </w:t>
      </w:r>
      <w:r w:rsidR="00EC2600">
        <w:t>S</w:t>
      </w:r>
      <w:r>
        <w:t>tallsikens handelsområde har EKO i oktober kunnat öppna en 8200 kvm stor butik.</w:t>
      </w:r>
      <w:r w:rsidR="002A6759">
        <w:t xml:space="preserve"> </w:t>
      </w:r>
      <w:proofErr w:type="spellStart"/>
      <w:r w:rsidR="002A6759">
        <w:rPr>
          <w:rFonts w:cstheme="minorHAnsi"/>
        </w:rPr>
        <w:t>Byggmax</w:t>
      </w:r>
      <w:proofErr w:type="spellEnd"/>
      <w:r w:rsidR="002A6759">
        <w:rPr>
          <w:rFonts w:cstheme="minorHAnsi"/>
        </w:rPr>
        <w:t xml:space="preserve"> öppnade i mars sin första butik i ett köpcentrum nämligen Tanum Shoppingcenter. Företaget flyttade även en butik i Trollhättan och öppnade en i Alingsås. I Tanum Shoppingcenter öppnade även i juni ett Jula på 2300 kvm.</w:t>
      </w:r>
    </w:p>
    <w:p w14:paraId="29D7DA8E" w14:textId="00A97007" w:rsidR="00AA043D" w:rsidRDefault="000C5113" w:rsidP="00303D01">
      <w:pPr>
        <w:spacing w:after="120"/>
        <w:jc w:val="both"/>
        <w:rPr>
          <w:b/>
          <w:sz w:val="24"/>
          <w:szCs w:val="20"/>
        </w:rPr>
      </w:pPr>
      <w:r w:rsidRPr="00AA043D">
        <w:rPr>
          <w:b/>
          <w:sz w:val="24"/>
          <w:szCs w:val="20"/>
        </w:rPr>
        <w:t>Utveckling</w:t>
      </w:r>
      <w:r w:rsidR="003B220C" w:rsidRPr="00AA043D">
        <w:rPr>
          <w:b/>
          <w:sz w:val="24"/>
          <w:szCs w:val="20"/>
        </w:rPr>
        <w:t xml:space="preserve">sprojekt </w:t>
      </w:r>
      <w:r w:rsidRPr="00AA043D">
        <w:rPr>
          <w:b/>
          <w:sz w:val="24"/>
          <w:szCs w:val="20"/>
        </w:rPr>
        <w:t xml:space="preserve">i </w:t>
      </w:r>
      <w:r w:rsidR="009103B6" w:rsidRPr="00AA043D">
        <w:rPr>
          <w:b/>
          <w:sz w:val="24"/>
          <w:szCs w:val="20"/>
        </w:rPr>
        <w:t>Göteborgsregionen</w:t>
      </w:r>
      <w:r w:rsidR="009175DE">
        <w:rPr>
          <w:b/>
          <w:sz w:val="24"/>
          <w:szCs w:val="20"/>
        </w:rPr>
        <w:t xml:space="preserve"> 2021</w:t>
      </w:r>
    </w:p>
    <w:p w14:paraId="7F3B7F9A" w14:textId="136C9C8F" w:rsidR="00930C13" w:rsidRPr="00AA043D" w:rsidRDefault="00CF07FF" w:rsidP="00303D01">
      <w:pPr>
        <w:spacing w:after="120"/>
        <w:jc w:val="both"/>
        <w:rPr>
          <w:b/>
          <w:sz w:val="24"/>
          <w:szCs w:val="20"/>
        </w:rPr>
      </w:pPr>
      <w:r>
        <w:t>I Västra Götaland pågår det minst 30 olika utvecklingsprojekt med detaljhandelsanknytning varav ungefär hälften är inom Göteborg</w:t>
      </w:r>
      <w:r w:rsidR="00445D0B">
        <w:t>sregionen</w:t>
      </w:r>
      <w:r>
        <w:t>.</w:t>
      </w:r>
      <w:r w:rsidR="008C46D9">
        <w:t xml:space="preserve"> Några mindre händelser under 2021 var att</w:t>
      </w:r>
      <w:r>
        <w:t xml:space="preserve"> </w:t>
      </w:r>
      <w:proofErr w:type="spellStart"/>
      <w:r w:rsidR="00930C13">
        <w:rPr>
          <w:rFonts w:cstheme="minorHAnsi"/>
        </w:rPr>
        <w:t>Uniqlo</w:t>
      </w:r>
      <w:proofErr w:type="spellEnd"/>
      <w:r w:rsidR="008C46D9">
        <w:rPr>
          <w:rFonts w:cstheme="minorHAnsi"/>
        </w:rPr>
        <w:t xml:space="preserve"> i april öppnade</w:t>
      </w:r>
      <w:r w:rsidR="00930C13">
        <w:rPr>
          <w:rFonts w:cstheme="minorHAnsi"/>
        </w:rPr>
        <w:t xml:space="preserve"> sin första butik utanför Stockholmsområdet i </w:t>
      </w:r>
      <w:r w:rsidR="00EC2600">
        <w:rPr>
          <w:rFonts w:cstheme="minorHAnsi"/>
        </w:rPr>
        <w:t>c</w:t>
      </w:r>
      <w:r w:rsidR="00930C13">
        <w:rPr>
          <w:rFonts w:cstheme="minorHAnsi"/>
        </w:rPr>
        <w:t>entrala Göteborg. Stadium och H&amp;M val</w:t>
      </w:r>
      <w:r w:rsidR="00734074">
        <w:rPr>
          <w:rFonts w:cstheme="minorHAnsi"/>
        </w:rPr>
        <w:t>de</w:t>
      </w:r>
      <w:r w:rsidR="00BF7755">
        <w:rPr>
          <w:rFonts w:cstheme="minorHAnsi"/>
        </w:rPr>
        <w:t xml:space="preserve"> under året</w:t>
      </w:r>
      <w:r w:rsidR="00930C13">
        <w:rPr>
          <w:rFonts w:cstheme="minorHAnsi"/>
        </w:rPr>
        <w:t xml:space="preserve"> att</w:t>
      </w:r>
      <w:r w:rsidR="00BF7755">
        <w:rPr>
          <w:rFonts w:cstheme="minorHAnsi"/>
        </w:rPr>
        <w:t xml:space="preserve"> ta beslutet att</w:t>
      </w:r>
      <w:r w:rsidR="00930C13">
        <w:rPr>
          <w:rFonts w:cstheme="minorHAnsi"/>
        </w:rPr>
        <w:t xml:space="preserve"> stänga ner</w:t>
      </w:r>
      <w:r w:rsidR="00BF7755">
        <w:rPr>
          <w:rFonts w:cstheme="minorHAnsi"/>
        </w:rPr>
        <w:t xml:space="preserve"> varsin</w:t>
      </w:r>
      <w:r w:rsidR="00930C13">
        <w:rPr>
          <w:rFonts w:cstheme="minorHAnsi"/>
        </w:rPr>
        <w:t xml:space="preserve"> butik i centrala Göteborg.</w:t>
      </w:r>
      <w:r>
        <w:rPr>
          <w:rFonts w:cstheme="minorHAnsi"/>
        </w:rPr>
        <w:t xml:space="preserve"> Den nya Ikea butiken i Kållered som skulle öppnats </w:t>
      </w:r>
      <w:r w:rsidR="00BF7755">
        <w:rPr>
          <w:rFonts w:cstheme="minorHAnsi"/>
        </w:rPr>
        <w:t>hösten</w:t>
      </w:r>
      <w:r>
        <w:rPr>
          <w:rFonts w:cstheme="minorHAnsi"/>
        </w:rPr>
        <w:t xml:space="preserve"> 2021 står</w:t>
      </w:r>
      <w:r w:rsidR="00BF7755">
        <w:rPr>
          <w:rFonts w:cstheme="minorHAnsi"/>
        </w:rPr>
        <w:t>,</w:t>
      </w:r>
      <w:r>
        <w:rPr>
          <w:rFonts w:cstheme="minorHAnsi"/>
        </w:rPr>
        <w:t xml:space="preserve"> under början av 2022</w:t>
      </w:r>
      <w:r w:rsidR="00BF7755">
        <w:rPr>
          <w:rFonts w:cstheme="minorHAnsi"/>
        </w:rPr>
        <w:t>,</w:t>
      </w:r>
      <w:r>
        <w:rPr>
          <w:rFonts w:cstheme="minorHAnsi"/>
        </w:rPr>
        <w:t xml:space="preserve"> fortfarande oöppnad.</w:t>
      </w:r>
    </w:p>
    <w:p w14:paraId="098DF8F7" w14:textId="636F781C" w:rsidR="004909D9" w:rsidRPr="00E438E6" w:rsidRDefault="0014391C" w:rsidP="00303D01">
      <w:pPr>
        <w:spacing w:after="120" w:line="276" w:lineRule="auto"/>
        <w:jc w:val="both"/>
      </w:pPr>
      <w:r w:rsidRPr="00E438E6">
        <w:t>Ett stort projekt</w:t>
      </w:r>
      <w:r w:rsidR="006E423D" w:rsidRPr="00E438E6">
        <w:t xml:space="preserve"> under namnet </w:t>
      </w:r>
      <w:proofErr w:type="spellStart"/>
      <w:r w:rsidR="004909D9" w:rsidRPr="00E438E6">
        <w:t>RegionCity</w:t>
      </w:r>
      <w:proofErr w:type="spellEnd"/>
      <w:r w:rsidRPr="00E438E6">
        <w:t>,</w:t>
      </w:r>
      <w:r w:rsidR="006E423D">
        <w:t xml:space="preserve"> </w:t>
      </w:r>
      <w:r w:rsidR="00660D62">
        <w:t xml:space="preserve">en ny stadsdel </w:t>
      </w:r>
      <w:r w:rsidR="006E423D">
        <w:t xml:space="preserve">runt </w:t>
      </w:r>
      <w:r w:rsidR="0022757C">
        <w:t>centralstationen i Göteborg</w:t>
      </w:r>
      <w:r w:rsidR="00EB794D">
        <w:t>,</w:t>
      </w:r>
      <w:r w:rsidR="0022757C">
        <w:t xml:space="preserve"> </w:t>
      </w:r>
      <w:r w:rsidR="007E3655">
        <w:t xml:space="preserve">går framåt </w:t>
      </w:r>
      <w:r w:rsidR="00C16AC3">
        <w:t>men</w:t>
      </w:r>
      <w:r w:rsidR="007E3655">
        <w:t xml:space="preserve"> </w:t>
      </w:r>
      <w:r w:rsidR="008F533B">
        <w:t>bygg</w:t>
      </w:r>
      <w:r w:rsidR="00154238">
        <w:t>start</w:t>
      </w:r>
      <w:r w:rsidR="008F533B">
        <w:t xml:space="preserve"> förväntas</w:t>
      </w:r>
      <w:r w:rsidR="00B057CE">
        <w:t xml:space="preserve"> </w:t>
      </w:r>
      <w:r w:rsidR="00E346E0">
        <w:t>tidigast</w:t>
      </w:r>
      <w:r w:rsidR="00B057CE">
        <w:t xml:space="preserve"> 2023. </w:t>
      </w:r>
      <w:r w:rsidR="00E24397">
        <w:t xml:space="preserve">Hela projektet </w:t>
      </w:r>
      <w:r w:rsidR="005B717D">
        <w:t>handlar om ett område på nästan 150</w:t>
      </w:r>
      <w:r w:rsidR="00214604">
        <w:t xml:space="preserve"> </w:t>
      </w:r>
      <w:r w:rsidR="005B717D">
        <w:t xml:space="preserve">000 kvadratmeter </w:t>
      </w:r>
      <w:r w:rsidR="00154238">
        <w:t xml:space="preserve">och förväntas helt färdigställt </w:t>
      </w:r>
      <w:r w:rsidR="00214604">
        <w:t xml:space="preserve">2030. Ett av husen i området på 40 000 kvadratmeter </w:t>
      </w:r>
      <w:r w:rsidR="008D5766">
        <w:t xml:space="preserve">som </w:t>
      </w:r>
      <w:r w:rsidR="00214604">
        <w:t>kommer</w:t>
      </w:r>
      <w:r w:rsidR="00282688">
        <w:t xml:space="preserve"> med handel</w:t>
      </w:r>
      <w:r w:rsidR="002D0C2C">
        <w:t xml:space="preserve">, kontor, gym, restauranger och </w:t>
      </w:r>
      <w:proofErr w:type="spellStart"/>
      <w:r w:rsidR="002D0C2C">
        <w:t>coworking</w:t>
      </w:r>
      <w:proofErr w:type="spellEnd"/>
      <w:r w:rsidR="002D0C2C">
        <w:t xml:space="preserve"> förväntas </w:t>
      </w:r>
      <w:r w:rsidR="00E438E6">
        <w:t>färdigställas redan 2026.</w:t>
      </w:r>
    </w:p>
    <w:p w14:paraId="1CD32B17" w14:textId="2CBA44CF" w:rsidR="000C5113" w:rsidRDefault="00084649" w:rsidP="00303D01">
      <w:pPr>
        <w:spacing w:after="120" w:line="276" w:lineRule="auto"/>
        <w:jc w:val="both"/>
      </w:pPr>
      <w:r>
        <w:t>I Bäckebol Center</w:t>
      </w:r>
      <w:r w:rsidR="00483098">
        <w:t xml:space="preserve"> har ett projekt med utveckling</w:t>
      </w:r>
      <w:r w:rsidR="008D5766">
        <w:t>en</w:t>
      </w:r>
      <w:r w:rsidR="00483098">
        <w:t xml:space="preserve"> av en ny ICA </w:t>
      </w:r>
      <w:r w:rsidR="007265FC">
        <w:t xml:space="preserve">med tillhörande </w:t>
      </w:r>
      <w:r w:rsidR="00EC2600">
        <w:t>A</w:t>
      </w:r>
      <w:r w:rsidR="00B2062C">
        <w:t>potek</w:t>
      </w:r>
      <w:r w:rsidR="00EC2600">
        <w:t>et H</w:t>
      </w:r>
      <w:r w:rsidR="00B2062C">
        <w:t>järta</w:t>
      </w:r>
      <w:r w:rsidR="007265FC">
        <w:t xml:space="preserve"> butik</w:t>
      </w:r>
      <w:r w:rsidR="00823C79">
        <w:t xml:space="preserve"> </w:t>
      </w:r>
      <w:r w:rsidR="00B2062C">
        <w:t xml:space="preserve">på </w:t>
      </w:r>
      <w:r w:rsidR="00CD5DB1">
        <w:t xml:space="preserve">3600 kvadratmeter </w:t>
      </w:r>
      <w:r w:rsidR="00823C79">
        <w:t>pågått i flera år och både butiker har under 2021 öppnats.</w:t>
      </w:r>
      <w:r w:rsidR="00D91ACE">
        <w:t xml:space="preserve"> Centret har även föreslagit en ytterligare expansion på </w:t>
      </w:r>
      <w:r w:rsidR="00B2062C">
        <w:t xml:space="preserve">6 400 kvadratmeter men </w:t>
      </w:r>
      <w:r w:rsidR="00CD5DB1">
        <w:t>ingen tidsplan finns ännu att finna.</w:t>
      </w:r>
    </w:p>
    <w:p w14:paraId="26DD29F1" w14:textId="00EE8914" w:rsidR="00CD5DB1" w:rsidRDefault="00041650" w:rsidP="00303D01">
      <w:pPr>
        <w:spacing w:after="120" w:line="276" w:lineRule="auto"/>
        <w:jc w:val="both"/>
      </w:pPr>
      <w:r>
        <w:t>Backaplan</w:t>
      </w:r>
      <w:r w:rsidR="00A70770">
        <w:t>s</w:t>
      </w:r>
      <w:r w:rsidR="004D4316">
        <w:t xml:space="preserve"> </w:t>
      </w:r>
      <w:r w:rsidR="00A70770">
        <w:t xml:space="preserve">Centrum har </w:t>
      </w:r>
      <w:r w:rsidR="005649CE">
        <w:t>sedan 2012 legat som projekt som Göteborgs Stad velat genomföra</w:t>
      </w:r>
      <w:r w:rsidR="00B36C1F">
        <w:t xml:space="preserve">. Det handlar om cirka 140 000 kvadratmeter </w:t>
      </w:r>
      <w:r w:rsidR="00FB12F8">
        <w:t xml:space="preserve">cityhandel men även </w:t>
      </w:r>
      <w:r w:rsidR="001E1FDD">
        <w:t>9</w:t>
      </w:r>
      <w:r w:rsidR="00EC2600">
        <w:t xml:space="preserve"> </w:t>
      </w:r>
      <w:r w:rsidR="001E1FDD">
        <w:t>000 bostäder, kontor, skolor, idrottshall och kulturhus. Det är inget litet projekt och allt beräknas vara klart 2035</w:t>
      </w:r>
      <w:r w:rsidR="006B5066">
        <w:t xml:space="preserve">. </w:t>
      </w:r>
      <w:r w:rsidR="007375B9">
        <w:t>Centrumbebyggelsens detaljplan har under 2021 tagits fram till samrådsfasen</w:t>
      </w:r>
      <w:r w:rsidR="0079599A">
        <w:t xml:space="preserve"> och början av 2022 har allmänheten möjlighet att framföra åsikter kring projektet. </w:t>
      </w:r>
      <w:r w:rsidR="00214CC8">
        <w:t>Efter samråd förvänts granskning</w:t>
      </w:r>
      <w:r w:rsidR="008D5766">
        <w:t>,</w:t>
      </w:r>
      <w:r w:rsidR="00214CC8">
        <w:t xml:space="preserve"> av möjlig ny information</w:t>
      </w:r>
      <w:r w:rsidR="008D5766">
        <w:t>,</w:t>
      </w:r>
      <w:r w:rsidR="00214CC8">
        <w:t xml:space="preserve"> </w:t>
      </w:r>
      <w:r w:rsidR="00183A14">
        <w:t>som planeras</w:t>
      </w:r>
      <w:r w:rsidR="008A2B88">
        <w:t xml:space="preserve"> fortgå</w:t>
      </w:r>
      <w:r w:rsidR="00183A14">
        <w:t xml:space="preserve"> fram till 2023 </w:t>
      </w:r>
      <w:r w:rsidR="008A2B88">
        <w:t>med</w:t>
      </w:r>
      <w:r w:rsidR="00183A14">
        <w:t xml:space="preserve"> förhoppningen att planen kan antas 2024.</w:t>
      </w:r>
    </w:p>
    <w:p w14:paraId="6C42542B" w14:textId="75571760" w:rsidR="003B6929" w:rsidRDefault="00117FEA" w:rsidP="00303D01">
      <w:pPr>
        <w:spacing w:after="120" w:line="276" w:lineRule="auto"/>
        <w:jc w:val="both"/>
      </w:pPr>
      <w:r>
        <w:t xml:space="preserve">NK </w:t>
      </w:r>
      <w:r w:rsidR="003B158E">
        <w:t>Göteborg</w:t>
      </w:r>
      <w:r>
        <w:t xml:space="preserve"> </w:t>
      </w:r>
      <w:r w:rsidR="00B610FE">
        <w:t xml:space="preserve">har ett </w:t>
      </w:r>
      <w:r w:rsidR="00DF654E">
        <w:t>planerat</w:t>
      </w:r>
      <w:r w:rsidR="00B610FE">
        <w:t xml:space="preserve"> projekt </w:t>
      </w:r>
      <w:r w:rsidR="006D5C07">
        <w:t>med en expansion på 5 000 kvadratmeter</w:t>
      </w:r>
      <w:r w:rsidR="00DF654E">
        <w:t xml:space="preserve">. </w:t>
      </w:r>
      <w:r w:rsidR="00AA7550">
        <w:t>Förväntningarna</w:t>
      </w:r>
      <w:r w:rsidR="00DF654E">
        <w:t xml:space="preserve"> är att </w:t>
      </w:r>
      <w:r w:rsidR="00AA7550">
        <w:t xml:space="preserve">detaljplanen ska kunna vinna laga kraft 2023 men konstruktionen förväntas inte starta förrän </w:t>
      </w:r>
      <w:r w:rsidR="00AA7550">
        <w:lastRenderedPageBreak/>
        <w:t>tidigast 2026. Hufvudstaden</w:t>
      </w:r>
      <w:r w:rsidR="00CF254E">
        <w:t>, som äger fastigheten</w:t>
      </w:r>
      <w:r w:rsidR="005251D7">
        <w:t>,</w:t>
      </w:r>
      <w:r w:rsidR="00CF254E">
        <w:t xml:space="preserve"> har </w:t>
      </w:r>
      <w:r w:rsidR="006268D1">
        <w:t>under 2021</w:t>
      </w:r>
      <w:r w:rsidR="00CF254E">
        <w:t xml:space="preserve"> bestämt sig för </w:t>
      </w:r>
      <w:r w:rsidR="00A2125E">
        <w:t xml:space="preserve">vilken arkitektbyrås förslag de vill </w:t>
      </w:r>
      <w:r w:rsidR="006268D1">
        <w:t>använda för expansionen.</w:t>
      </w:r>
    </w:p>
    <w:p w14:paraId="329BE5CA" w14:textId="48F6AA48" w:rsidR="00DD2702" w:rsidRDefault="00701BD0" w:rsidP="00303D01">
      <w:pPr>
        <w:spacing w:after="120" w:line="276" w:lineRule="auto"/>
        <w:jc w:val="both"/>
      </w:pPr>
      <w:r>
        <w:t xml:space="preserve">I </w:t>
      </w:r>
      <w:r w:rsidR="001A21E4">
        <w:t xml:space="preserve">Frölunda torg </w:t>
      </w:r>
      <w:r w:rsidR="00A40897">
        <w:t xml:space="preserve">planeras utbyggnad av både handel och bostäder, 1650 nya bostäder och 40 000 </w:t>
      </w:r>
      <w:r w:rsidR="001B7552">
        <w:t>kvadratmeter handel</w:t>
      </w:r>
      <w:r w:rsidR="00A43879">
        <w:t xml:space="preserve"> (en expansion på det redan 75 000 kvadratmeter stora handelsområdet)</w:t>
      </w:r>
      <w:r w:rsidR="001B7552">
        <w:t xml:space="preserve">. </w:t>
      </w:r>
      <w:r>
        <w:t>Förhoppningen</w:t>
      </w:r>
      <w:r w:rsidR="00272EFB">
        <w:t xml:space="preserve"> är att samråd ska hållas under våren 2022, </w:t>
      </w:r>
      <w:r w:rsidR="004B67E6">
        <w:t xml:space="preserve">med en färdig detaljplan 2023/24 och att konstruktion av projektet ska kunna börja </w:t>
      </w:r>
      <w:r w:rsidR="00F302BB">
        <w:t>2024/26.</w:t>
      </w:r>
    </w:p>
    <w:sectPr w:rsidR="00DD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979"/>
    <w:multiLevelType w:val="hybridMultilevel"/>
    <w:tmpl w:val="ED267F06"/>
    <w:lvl w:ilvl="0" w:tplc="C1D832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26465"/>
    <w:multiLevelType w:val="hybridMultilevel"/>
    <w:tmpl w:val="CD665DEA"/>
    <w:lvl w:ilvl="0" w:tplc="5B02D0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D3DB1"/>
    <w:multiLevelType w:val="hybridMultilevel"/>
    <w:tmpl w:val="EF288DB2"/>
    <w:lvl w:ilvl="0" w:tplc="7AFC8B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7559C"/>
    <w:multiLevelType w:val="hybridMultilevel"/>
    <w:tmpl w:val="51A81994"/>
    <w:lvl w:ilvl="0" w:tplc="766A48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23616">
    <w:abstractNumId w:val="0"/>
  </w:num>
  <w:num w:numId="2" w16cid:durableId="974799856">
    <w:abstractNumId w:val="1"/>
  </w:num>
  <w:num w:numId="3" w16cid:durableId="726803165">
    <w:abstractNumId w:val="2"/>
  </w:num>
  <w:num w:numId="4" w16cid:durableId="1895584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4A"/>
    <w:rsid w:val="00007FD2"/>
    <w:rsid w:val="00010133"/>
    <w:rsid w:val="00010A8B"/>
    <w:rsid w:val="000151CB"/>
    <w:rsid w:val="000162DA"/>
    <w:rsid w:val="000204C2"/>
    <w:rsid w:val="000258E6"/>
    <w:rsid w:val="00030976"/>
    <w:rsid w:val="00041650"/>
    <w:rsid w:val="00041B4A"/>
    <w:rsid w:val="00053905"/>
    <w:rsid w:val="00053A97"/>
    <w:rsid w:val="00057425"/>
    <w:rsid w:val="0006287F"/>
    <w:rsid w:val="00065BEA"/>
    <w:rsid w:val="00067C88"/>
    <w:rsid w:val="000731D0"/>
    <w:rsid w:val="0008207A"/>
    <w:rsid w:val="00084649"/>
    <w:rsid w:val="000938AD"/>
    <w:rsid w:val="00093E5C"/>
    <w:rsid w:val="00094E99"/>
    <w:rsid w:val="000A0151"/>
    <w:rsid w:val="000A2E5E"/>
    <w:rsid w:val="000C5113"/>
    <w:rsid w:val="000D351F"/>
    <w:rsid w:val="000D57A6"/>
    <w:rsid w:val="000E06AA"/>
    <w:rsid w:val="000E2FEA"/>
    <w:rsid w:val="000E36D0"/>
    <w:rsid w:val="000E7CE2"/>
    <w:rsid w:val="0010425B"/>
    <w:rsid w:val="00105B28"/>
    <w:rsid w:val="001077BE"/>
    <w:rsid w:val="001116A9"/>
    <w:rsid w:val="00112B78"/>
    <w:rsid w:val="00113F0F"/>
    <w:rsid w:val="00117FEA"/>
    <w:rsid w:val="00123176"/>
    <w:rsid w:val="00132C9D"/>
    <w:rsid w:val="001368F9"/>
    <w:rsid w:val="001402ED"/>
    <w:rsid w:val="00140612"/>
    <w:rsid w:val="0014391C"/>
    <w:rsid w:val="00152616"/>
    <w:rsid w:val="00153B16"/>
    <w:rsid w:val="00154238"/>
    <w:rsid w:val="00173795"/>
    <w:rsid w:val="00174CFD"/>
    <w:rsid w:val="00175E59"/>
    <w:rsid w:val="00183A14"/>
    <w:rsid w:val="0018515D"/>
    <w:rsid w:val="001A21E4"/>
    <w:rsid w:val="001A6A30"/>
    <w:rsid w:val="001B7552"/>
    <w:rsid w:val="001B788C"/>
    <w:rsid w:val="001C0445"/>
    <w:rsid w:val="001C0FAB"/>
    <w:rsid w:val="001C236D"/>
    <w:rsid w:val="001C32A5"/>
    <w:rsid w:val="001C55E7"/>
    <w:rsid w:val="001D3601"/>
    <w:rsid w:val="001D4748"/>
    <w:rsid w:val="001D501C"/>
    <w:rsid w:val="001D5954"/>
    <w:rsid w:val="001D6BAA"/>
    <w:rsid w:val="001E11F5"/>
    <w:rsid w:val="001E1FDD"/>
    <w:rsid w:val="001F7177"/>
    <w:rsid w:val="00201D1A"/>
    <w:rsid w:val="002023B8"/>
    <w:rsid w:val="0020468A"/>
    <w:rsid w:val="00207C4B"/>
    <w:rsid w:val="002136AD"/>
    <w:rsid w:val="00214604"/>
    <w:rsid w:val="00214CC8"/>
    <w:rsid w:val="00221EBB"/>
    <w:rsid w:val="0022757C"/>
    <w:rsid w:val="0023214C"/>
    <w:rsid w:val="002427C6"/>
    <w:rsid w:val="00260752"/>
    <w:rsid w:val="00271359"/>
    <w:rsid w:val="00271C96"/>
    <w:rsid w:val="00272EFB"/>
    <w:rsid w:val="002742F3"/>
    <w:rsid w:val="0028051B"/>
    <w:rsid w:val="00282688"/>
    <w:rsid w:val="00282D19"/>
    <w:rsid w:val="00291CAB"/>
    <w:rsid w:val="00292368"/>
    <w:rsid w:val="002A6759"/>
    <w:rsid w:val="002A72D3"/>
    <w:rsid w:val="002B4700"/>
    <w:rsid w:val="002B5B66"/>
    <w:rsid w:val="002C23CC"/>
    <w:rsid w:val="002C259D"/>
    <w:rsid w:val="002C3F02"/>
    <w:rsid w:val="002D0C2C"/>
    <w:rsid w:val="002D47DC"/>
    <w:rsid w:val="002D69FB"/>
    <w:rsid w:val="002E3D8F"/>
    <w:rsid w:val="002E4F39"/>
    <w:rsid w:val="002F6C26"/>
    <w:rsid w:val="002F7468"/>
    <w:rsid w:val="00303D01"/>
    <w:rsid w:val="00323176"/>
    <w:rsid w:val="00326C64"/>
    <w:rsid w:val="00331174"/>
    <w:rsid w:val="0033403E"/>
    <w:rsid w:val="00334F9C"/>
    <w:rsid w:val="003418FC"/>
    <w:rsid w:val="00341CE0"/>
    <w:rsid w:val="00346797"/>
    <w:rsid w:val="00346F36"/>
    <w:rsid w:val="00347599"/>
    <w:rsid w:val="00360C53"/>
    <w:rsid w:val="003615D6"/>
    <w:rsid w:val="0036172A"/>
    <w:rsid w:val="00367FA1"/>
    <w:rsid w:val="00375FA4"/>
    <w:rsid w:val="003870B1"/>
    <w:rsid w:val="00387C31"/>
    <w:rsid w:val="0039433F"/>
    <w:rsid w:val="003A1840"/>
    <w:rsid w:val="003A56CD"/>
    <w:rsid w:val="003B158E"/>
    <w:rsid w:val="003B220C"/>
    <w:rsid w:val="003B3BEE"/>
    <w:rsid w:val="003B4DC1"/>
    <w:rsid w:val="003B4DF4"/>
    <w:rsid w:val="003B6929"/>
    <w:rsid w:val="003C1976"/>
    <w:rsid w:val="003C6D55"/>
    <w:rsid w:val="003D23B2"/>
    <w:rsid w:val="003E7282"/>
    <w:rsid w:val="003E7B11"/>
    <w:rsid w:val="0040332A"/>
    <w:rsid w:val="004149BE"/>
    <w:rsid w:val="0041500F"/>
    <w:rsid w:val="004209D8"/>
    <w:rsid w:val="004374BE"/>
    <w:rsid w:val="00437B79"/>
    <w:rsid w:val="00444779"/>
    <w:rsid w:val="00445D0B"/>
    <w:rsid w:val="0048259B"/>
    <w:rsid w:val="00483098"/>
    <w:rsid w:val="00485CE5"/>
    <w:rsid w:val="004909D9"/>
    <w:rsid w:val="004A2D07"/>
    <w:rsid w:val="004A386E"/>
    <w:rsid w:val="004A60AD"/>
    <w:rsid w:val="004B13EA"/>
    <w:rsid w:val="004B28CC"/>
    <w:rsid w:val="004B67E6"/>
    <w:rsid w:val="004C6193"/>
    <w:rsid w:val="004C6257"/>
    <w:rsid w:val="004C7C80"/>
    <w:rsid w:val="004D0755"/>
    <w:rsid w:val="004D4316"/>
    <w:rsid w:val="004E23B1"/>
    <w:rsid w:val="004E5373"/>
    <w:rsid w:val="004E71B8"/>
    <w:rsid w:val="004E7817"/>
    <w:rsid w:val="004F2228"/>
    <w:rsid w:val="004F372D"/>
    <w:rsid w:val="004F46B3"/>
    <w:rsid w:val="004F5A97"/>
    <w:rsid w:val="005056A9"/>
    <w:rsid w:val="005251D7"/>
    <w:rsid w:val="00525E1F"/>
    <w:rsid w:val="0053057C"/>
    <w:rsid w:val="0053479B"/>
    <w:rsid w:val="00534DF2"/>
    <w:rsid w:val="00535029"/>
    <w:rsid w:val="00545C2C"/>
    <w:rsid w:val="005475B4"/>
    <w:rsid w:val="00554773"/>
    <w:rsid w:val="00557A3A"/>
    <w:rsid w:val="00560F13"/>
    <w:rsid w:val="0056179B"/>
    <w:rsid w:val="00561E8E"/>
    <w:rsid w:val="00563DBC"/>
    <w:rsid w:val="005649CE"/>
    <w:rsid w:val="00565E21"/>
    <w:rsid w:val="00573832"/>
    <w:rsid w:val="00576301"/>
    <w:rsid w:val="005824E3"/>
    <w:rsid w:val="00583749"/>
    <w:rsid w:val="005905AB"/>
    <w:rsid w:val="005911D6"/>
    <w:rsid w:val="005949C8"/>
    <w:rsid w:val="005965AA"/>
    <w:rsid w:val="0059791D"/>
    <w:rsid w:val="00597B57"/>
    <w:rsid w:val="005A1DAD"/>
    <w:rsid w:val="005A72F6"/>
    <w:rsid w:val="005B5953"/>
    <w:rsid w:val="005B5BB2"/>
    <w:rsid w:val="005B717D"/>
    <w:rsid w:val="005C7ABA"/>
    <w:rsid w:val="005D1536"/>
    <w:rsid w:val="005F2D15"/>
    <w:rsid w:val="005F5FAD"/>
    <w:rsid w:val="006043BE"/>
    <w:rsid w:val="006045FD"/>
    <w:rsid w:val="00615844"/>
    <w:rsid w:val="00623B85"/>
    <w:rsid w:val="0062415F"/>
    <w:rsid w:val="006268D1"/>
    <w:rsid w:val="0064307F"/>
    <w:rsid w:val="00652D90"/>
    <w:rsid w:val="00660D62"/>
    <w:rsid w:val="0066365F"/>
    <w:rsid w:val="0067148F"/>
    <w:rsid w:val="0067483A"/>
    <w:rsid w:val="00677896"/>
    <w:rsid w:val="0068110B"/>
    <w:rsid w:val="0068327F"/>
    <w:rsid w:val="00683B33"/>
    <w:rsid w:val="00687127"/>
    <w:rsid w:val="0069101D"/>
    <w:rsid w:val="00691A45"/>
    <w:rsid w:val="00694CF3"/>
    <w:rsid w:val="006A2678"/>
    <w:rsid w:val="006A4DC1"/>
    <w:rsid w:val="006B16D3"/>
    <w:rsid w:val="006B3AAE"/>
    <w:rsid w:val="006B4D80"/>
    <w:rsid w:val="006B4DF3"/>
    <w:rsid w:val="006B5066"/>
    <w:rsid w:val="006B64CE"/>
    <w:rsid w:val="006D2ED0"/>
    <w:rsid w:val="006D5C07"/>
    <w:rsid w:val="006E0E80"/>
    <w:rsid w:val="006E353F"/>
    <w:rsid w:val="006E423D"/>
    <w:rsid w:val="006E6756"/>
    <w:rsid w:val="00701BD0"/>
    <w:rsid w:val="00706186"/>
    <w:rsid w:val="00707BD8"/>
    <w:rsid w:val="00712B26"/>
    <w:rsid w:val="007167A1"/>
    <w:rsid w:val="007265FC"/>
    <w:rsid w:val="00733031"/>
    <w:rsid w:val="00734074"/>
    <w:rsid w:val="007340A8"/>
    <w:rsid w:val="007375B9"/>
    <w:rsid w:val="00742438"/>
    <w:rsid w:val="00745368"/>
    <w:rsid w:val="0074685B"/>
    <w:rsid w:val="00774608"/>
    <w:rsid w:val="00775EA9"/>
    <w:rsid w:val="00777968"/>
    <w:rsid w:val="00780E04"/>
    <w:rsid w:val="00791286"/>
    <w:rsid w:val="00792547"/>
    <w:rsid w:val="0079599A"/>
    <w:rsid w:val="007968DB"/>
    <w:rsid w:val="00796F3C"/>
    <w:rsid w:val="007A1C39"/>
    <w:rsid w:val="007B2252"/>
    <w:rsid w:val="007B38B7"/>
    <w:rsid w:val="007B4F82"/>
    <w:rsid w:val="007C5521"/>
    <w:rsid w:val="007C5BC4"/>
    <w:rsid w:val="007C720C"/>
    <w:rsid w:val="007D371D"/>
    <w:rsid w:val="007D3E32"/>
    <w:rsid w:val="007D5A0E"/>
    <w:rsid w:val="007E3655"/>
    <w:rsid w:val="007E7348"/>
    <w:rsid w:val="007F5B31"/>
    <w:rsid w:val="007F6E8E"/>
    <w:rsid w:val="008041AD"/>
    <w:rsid w:val="00815276"/>
    <w:rsid w:val="00815A17"/>
    <w:rsid w:val="00823C79"/>
    <w:rsid w:val="0082476E"/>
    <w:rsid w:val="00824D6A"/>
    <w:rsid w:val="008502E0"/>
    <w:rsid w:val="0085609A"/>
    <w:rsid w:val="008655DC"/>
    <w:rsid w:val="00867DFB"/>
    <w:rsid w:val="00867EB8"/>
    <w:rsid w:val="00871457"/>
    <w:rsid w:val="008730F6"/>
    <w:rsid w:val="008777AD"/>
    <w:rsid w:val="00886A29"/>
    <w:rsid w:val="008973E2"/>
    <w:rsid w:val="00897412"/>
    <w:rsid w:val="008A1297"/>
    <w:rsid w:val="008A2B88"/>
    <w:rsid w:val="008A5BBC"/>
    <w:rsid w:val="008C26E9"/>
    <w:rsid w:val="008C46D9"/>
    <w:rsid w:val="008C6D8A"/>
    <w:rsid w:val="008C73D8"/>
    <w:rsid w:val="008C7EAC"/>
    <w:rsid w:val="008D0CA8"/>
    <w:rsid w:val="008D5766"/>
    <w:rsid w:val="008D6386"/>
    <w:rsid w:val="008D7244"/>
    <w:rsid w:val="008E5BE2"/>
    <w:rsid w:val="008F06B5"/>
    <w:rsid w:val="008F1848"/>
    <w:rsid w:val="008F497E"/>
    <w:rsid w:val="008F507F"/>
    <w:rsid w:val="008F533B"/>
    <w:rsid w:val="008F74C1"/>
    <w:rsid w:val="0090431A"/>
    <w:rsid w:val="009103B6"/>
    <w:rsid w:val="00910B91"/>
    <w:rsid w:val="00911FFD"/>
    <w:rsid w:val="0091387B"/>
    <w:rsid w:val="009164BD"/>
    <w:rsid w:val="009175DE"/>
    <w:rsid w:val="00921295"/>
    <w:rsid w:val="00923384"/>
    <w:rsid w:val="00930C13"/>
    <w:rsid w:val="00931CEF"/>
    <w:rsid w:val="0096264A"/>
    <w:rsid w:val="009732AA"/>
    <w:rsid w:val="00976B22"/>
    <w:rsid w:val="0098366E"/>
    <w:rsid w:val="009942C7"/>
    <w:rsid w:val="0099455E"/>
    <w:rsid w:val="00995E58"/>
    <w:rsid w:val="009A4411"/>
    <w:rsid w:val="009A6124"/>
    <w:rsid w:val="009A7B17"/>
    <w:rsid w:val="009B4288"/>
    <w:rsid w:val="009D2367"/>
    <w:rsid w:val="009D2D3F"/>
    <w:rsid w:val="009D4D28"/>
    <w:rsid w:val="009E0097"/>
    <w:rsid w:val="009E2A0D"/>
    <w:rsid w:val="009F2DAA"/>
    <w:rsid w:val="00A00135"/>
    <w:rsid w:val="00A045AB"/>
    <w:rsid w:val="00A10A7A"/>
    <w:rsid w:val="00A14219"/>
    <w:rsid w:val="00A149FD"/>
    <w:rsid w:val="00A17D14"/>
    <w:rsid w:val="00A211FC"/>
    <w:rsid w:val="00A2125E"/>
    <w:rsid w:val="00A22A3F"/>
    <w:rsid w:val="00A26663"/>
    <w:rsid w:val="00A2712B"/>
    <w:rsid w:val="00A356F3"/>
    <w:rsid w:val="00A379D1"/>
    <w:rsid w:val="00A4037E"/>
    <w:rsid w:val="00A40897"/>
    <w:rsid w:val="00A43879"/>
    <w:rsid w:val="00A438CA"/>
    <w:rsid w:val="00A43D9B"/>
    <w:rsid w:val="00A65C95"/>
    <w:rsid w:val="00A70770"/>
    <w:rsid w:val="00A73848"/>
    <w:rsid w:val="00A74F9F"/>
    <w:rsid w:val="00A83E05"/>
    <w:rsid w:val="00A9120A"/>
    <w:rsid w:val="00A953C9"/>
    <w:rsid w:val="00AA043D"/>
    <w:rsid w:val="00AA7550"/>
    <w:rsid w:val="00AB1E24"/>
    <w:rsid w:val="00AB3C90"/>
    <w:rsid w:val="00AB50A7"/>
    <w:rsid w:val="00AB5BB7"/>
    <w:rsid w:val="00AC03E7"/>
    <w:rsid w:val="00AD15A2"/>
    <w:rsid w:val="00AD2F16"/>
    <w:rsid w:val="00AD3415"/>
    <w:rsid w:val="00AD39D8"/>
    <w:rsid w:val="00AE00F9"/>
    <w:rsid w:val="00AE4C78"/>
    <w:rsid w:val="00AE5D84"/>
    <w:rsid w:val="00AF22DF"/>
    <w:rsid w:val="00AF2A1D"/>
    <w:rsid w:val="00B035F0"/>
    <w:rsid w:val="00B057CE"/>
    <w:rsid w:val="00B07020"/>
    <w:rsid w:val="00B12FE6"/>
    <w:rsid w:val="00B15376"/>
    <w:rsid w:val="00B2062C"/>
    <w:rsid w:val="00B24BD9"/>
    <w:rsid w:val="00B2664A"/>
    <w:rsid w:val="00B36C1F"/>
    <w:rsid w:val="00B42B45"/>
    <w:rsid w:val="00B5118E"/>
    <w:rsid w:val="00B60547"/>
    <w:rsid w:val="00B610FE"/>
    <w:rsid w:val="00B63173"/>
    <w:rsid w:val="00B6347D"/>
    <w:rsid w:val="00B665B2"/>
    <w:rsid w:val="00B6730E"/>
    <w:rsid w:val="00B73BA9"/>
    <w:rsid w:val="00B94FE7"/>
    <w:rsid w:val="00BA71F0"/>
    <w:rsid w:val="00BB3272"/>
    <w:rsid w:val="00BB4C42"/>
    <w:rsid w:val="00BD0B69"/>
    <w:rsid w:val="00BD2173"/>
    <w:rsid w:val="00BD2D8B"/>
    <w:rsid w:val="00BE1279"/>
    <w:rsid w:val="00BF3DC0"/>
    <w:rsid w:val="00BF7755"/>
    <w:rsid w:val="00C05AA4"/>
    <w:rsid w:val="00C16AC3"/>
    <w:rsid w:val="00C33FD3"/>
    <w:rsid w:val="00C43977"/>
    <w:rsid w:val="00C56634"/>
    <w:rsid w:val="00C716EF"/>
    <w:rsid w:val="00C92A34"/>
    <w:rsid w:val="00C96C80"/>
    <w:rsid w:val="00CA4D4C"/>
    <w:rsid w:val="00CD0BDA"/>
    <w:rsid w:val="00CD5DB1"/>
    <w:rsid w:val="00CE1791"/>
    <w:rsid w:val="00CE1FEC"/>
    <w:rsid w:val="00CE74C9"/>
    <w:rsid w:val="00CE77D5"/>
    <w:rsid w:val="00CF07FF"/>
    <w:rsid w:val="00CF1B25"/>
    <w:rsid w:val="00CF254E"/>
    <w:rsid w:val="00CF6196"/>
    <w:rsid w:val="00D01278"/>
    <w:rsid w:val="00D03E8E"/>
    <w:rsid w:val="00D37DAB"/>
    <w:rsid w:val="00D4018F"/>
    <w:rsid w:val="00D40D4D"/>
    <w:rsid w:val="00D50647"/>
    <w:rsid w:val="00D55813"/>
    <w:rsid w:val="00D56713"/>
    <w:rsid w:val="00D83AD5"/>
    <w:rsid w:val="00D86F4F"/>
    <w:rsid w:val="00D90858"/>
    <w:rsid w:val="00D90BF7"/>
    <w:rsid w:val="00D91ACE"/>
    <w:rsid w:val="00D92801"/>
    <w:rsid w:val="00D936A2"/>
    <w:rsid w:val="00D943E1"/>
    <w:rsid w:val="00D96BCC"/>
    <w:rsid w:val="00DB3B3F"/>
    <w:rsid w:val="00DB7B3F"/>
    <w:rsid w:val="00DD046B"/>
    <w:rsid w:val="00DD2702"/>
    <w:rsid w:val="00DD4143"/>
    <w:rsid w:val="00DD4338"/>
    <w:rsid w:val="00DE0643"/>
    <w:rsid w:val="00DE19A5"/>
    <w:rsid w:val="00DF3F0B"/>
    <w:rsid w:val="00DF654E"/>
    <w:rsid w:val="00E0515B"/>
    <w:rsid w:val="00E05454"/>
    <w:rsid w:val="00E139D7"/>
    <w:rsid w:val="00E22F6F"/>
    <w:rsid w:val="00E23C6A"/>
    <w:rsid w:val="00E24397"/>
    <w:rsid w:val="00E256E7"/>
    <w:rsid w:val="00E25976"/>
    <w:rsid w:val="00E346E0"/>
    <w:rsid w:val="00E438E6"/>
    <w:rsid w:val="00E43AFF"/>
    <w:rsid w:val="00E56897"/>
    <w:rsid w:val="00E72888"/>
    <w:rsid w:val="00E756F5"/>
    <w:rsid w:val="00E77AD1"/>
    <w:rsid w:val="00E810A1"/>
    <w:rsid w:val="00E81457"/>
    <w:rsid w:val="00E8217A"/>
    <w:rsid w:val="00E82737"/>
    <w:rsid w:val="00E917F8"/>
    <w:rsid w:val="00E94D44"/>
    <w:rsid w:val="00EA2C65"/>
    <w:rsid w:val="00EB01E5"/>
    <w:rsid w:val="00EB794D"/>
    <w:rsid w:val="00EB7B60"/>
    <w:rsid w:val="00EC2600"/>
    <w:rsid w:val="00EC52CA"/>
    <w:rsid w:val="00EE1E32"/>
    <w:rsid w:val="00EF204D"/>
    <w:rsid w:val="00F027BE"/>
    <w:rsid w:val="00F069BF"/>
    <w:rsid w:val="00F156B6"/>
    <w:rsid w:val="00F1595C"/>
    <w:rsid w:val="00F17063"/>
    <w:rsid w:val="00F20EFD"/>
    <w:rsid w:val="00F302BB"/>
    <w:rsid w:val="00F36831"/>
    <w:rsid w:val="00F37332"/>
    <w:rsid w:val="00F41B36"/>
    <w:rsid w:val="00F42A39"/>
    <w:rsid w:val="00F43F97"/>
    <w:rsid w:val="00F443E1"/>
    <w:rsid w:val="00F54C9A"/>
    <w:rsid w:val="00F63E19"/>
    <w:rsid w:val="00F72E35"/>
    <w:rsid w:val="00F731BF"/>
    <w:rsid w:val="00F77B2F"/>
    <w:rsid w:val="00F85F7F"/>
    <w:rsid w:val="00F87AB9"/>
    <w:rsid w:val="00FA6C25"/>
    <w:rsid w:val="00FB12F8"/>
    <w:rsid w:val="00FB4EF3"/>
    <w:rsid w:val="00FB5A1B"/>
    <w:rsid w:val="00FC1F75"/>
    <w:rsid w:val="00FC4C98"/>
    <w:rsid w:val="00FC78F4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D279"/>
  <w15:chartTrackingRefBased/>
  <w15:docId w15:val="{0BDEDF85-3105-4164-BF0D-EBB2000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"/>
    <w:qFormat/>
    <w:rsid w:val="004D0755"/>
    <w:pPr>
      <w:spacing w:after="270" w:line="270" w:lineRule="atLeast"/>
    </w:pPr>
    <w:rPr>
      <w:sz w:val="20"/>
    </w:rPr>
  </w:style>
  <w:style w:type="character" w:customStyle="1" w:styleId="BrdtextChar">
    <w:name w:val="Brödtext Char"/>
    <w:basedOn w:val="Standardstycketeckensnitt"/>
    <w:link w:val="Brdtext"/>
    <w:uiPriority w:val="2"/>
    <w:rsid w:val="004D0755"/>
    <w:rPr>
      <w:sz w:val="20"/>
    </w:rPr>
  </w:style>
  <w:style w:type="paragraph" w:styleId="Liststycke">
    <w:name w:val="List Paragraph"/>
    <w:basedOn w:val="Normal"/>
    <w:uiPriority w:val="34"/>
    <w:qFormat/>
    <w:rsid w:val="002A72D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A72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A72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A72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72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72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2D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5118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118E"/>
    <w:rPr>
      <w:color w:val="605E5C"/>
      <w:shd w:val="clear" w:color="auto" w:fill="E1DFDD"/>
    </w:rPr>
  </w:style>
  <w:style w:type="paragraph" w:customStyle="1" w:styleId="huvudrubrik">
    <w:name w:val="huvudrubrik"/>
    <w:basedOn w:val="Normal"/>
    <w:rsid w:val="00B0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B0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72.30.1.10\Hui\0_HUI_2017\03_Index%20och%20Konjunktur\Pnr%2026%20Konjunkturen\2022\Q1\Utkast\Tema\Data\Prisskillnad%20SE%20N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Detaljhandelns utveckling per bransch, 2020-2021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388-4416-A5DC-8F6B5152E087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388-4416-A5DC-8F6B5152E087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8388-4416-A5DC-8F6B5152E0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Skor</c:v>
                </c:pt>
                <c:pt idx="1">
                  <c:v>Kläder</c:v>
                </c:pt>
                <c:pt idx="2">
                  <c:v>Järn &amp; bygg</c:v>
                </c:pt>
                <c:pt idx="3">
                  <c:v>Heminredning</c:v>
                </c:pt>
                <c:pt idx="4">
                  <c:v>Sport</c:v>
                </c:pt>
                <c:pt idx="5">
                  <c:v>Elektronik</c:v>
                </c:pt>
                <c:pt idx="6">
                  <c:v>Möbler</c:v>
                </c:pt>
                <c:pt idx="8">
                  <c:v>Total detaljhandel</c:v>
                </c:pt>
                <c:pt idx="9">
                  <c:v>dagligvaror (exkl. systemet</c:v>
                </c:pt>
                <c:pt idx="10">
                  <c:v>sällansköpsvaruhandel</c:v>
                </c:pt>
              </c:strCache>
            </c:strRef>
          </c:cat>
          <c:val>
            <c:numRef>
              <c:f>Sheet1!$F$3:$F$13</c:f>
              <c:numCache>
                <c:formatCode>0.0%</c:formatCode>
                <c:ptCount val="11"/>
                <c:pt idx="0">
                  <c:v>0.21</c:v>
                </c:pt>
                <c:pt idx="1">
                  <c:v>0.14299999999999999</c:v>
                </c:pt>
                <c:pt idx="2">
                  <c:v>9.5000000000000001E-2</c:v>
                </c:pt>
                <c:pt idx="3">
                  <c:v>0.126</c:v>
                </c:pt>
                <c:pt idx="4">
                  <c:v>5.2999999999999999E-2</c:v>
                </c:pt>
                <c:pt idx="5">
                  <c:v>5.8000000000000003E-2</c:v>
                </c:pt>
                <c:pt idx="6">
                  <c:v>3.4000000000000002E-2</c:v>
                </c:pt>
                <c:pt idx="8">
                  <c:v>6.0999999999999999E-2</c:v>
                </c:pt>
                <c:pt idx="9">
                  <c:v>1.2E-2</c:v>
                </c:pt>
                <c:pt idx="10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88-4416-A5DC-8F6B5152E0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17411024"/>
        <c:axId val="18174122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v-SE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Sheet1!$A$3:$A$13</c15:sqref>
                        </c15:formulaRef>
                      </c:ext>
                    </c:extLst>
                    <c:strCache>
                      <c:ptCount val="11"/>
                      <c:pt idx="0">
                        <c:v>Skor</c:v>
                      </c:pt>
                      <c:pt idx="1">
                        <c:v>Kläder</c:v>
                      </c:pt>
                      <c:pt idx="2">
                        <c:v>Järn &amp; bygg</c:v>
                      </c:pt>
                      <c:pt idx="3">
                        <c:v>Heminredning</c:v>
                      </c:pt>
                      <c:pt idx="4">
                        <c:v>Sport</c:v>
                      </c:pt>
                      <c:pt idx="5">
                        <c:v>Elektronik</c:v>
                      </c:pt>
                      <c:pt idx="6">
                        <c:v>Möbler</c:v>
                      </c:pt>
                      <c:pt idx="8">
                        <c:v>Total detaljhandel</c:v>
                      </c:pt>
                      <c:pt idx="9">
                        <c:v>dagligvaror (exkl. systemet</c:v>
                      </c:pt>
                      <c:pt idx="10">
                        <c:v>sällansköpsvaruhandel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Sheet1!$B$3:$B$13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388-4416-A5DC-8F6B5152E087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v-SE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Sheet1!$A$3:$A$13</c15:sqref>
                        </c15:formulaRef>
                      </c:ext>
                    </c:extLst>
                    <c:strCache>
                      <c:ptCount val="11"/>
                      <c:pt idx="0">
                        <c:v>Skor</c:v>
                      </c:pt>
                      <c:pt idx="1">
                        <c:v>Kläder</c:v>
                      </c:pt>
                      <c:pt idx="2">
                        <c:v>Järn &amp; bygg</c:v>
                      </c:pt>
                      <c:pt idx="3">
                        <c:v>Heminredning</c:v>
                      </c:pt>
                      <c:pt idx="4">
                        <c:v>Sport</c:v>
                      </c:pt>
                      <c:pt idx="5">
                        <c:v>Elektronik</c:v>
                      </c:pt>
                      <c:pt idx="6">
                        <c:v>Möbler</c:v>
                      </c:pt>
                      <c:pt idx="8">
                        <c:v>Total detaljhandel</c:v>
                      </c:pt>
                      <c:pt idx="9">
                        <c:v>dagligvaror (exkl. systemet</c:v>
                      </c:pt>
                      <c:pt idx="10">
                        <c:v>sällansköpsvaruhandel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Sheet1!$C$3:$C$13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388-4416-A5DC-8F6B5152E087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v-SE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Sheet1!$A$3:$A$13</c15:sqref>
                        </c15:formulaRef>
                      </c:ext>
                    </c:extLst>
                    <c:strCache>
                      <c:ptCount val="11"/>
                      <c:pt idx="0">
                        <c:v>Skor</c:v>
                      </c:pt>
                      <c:pt idx="1">
                        <c:v>Kläder</c:v>
                      </c:pt>
                      <c:pt idx="2">
                        <c:v>Järn &amp; bygg</c:v>
                      </c:pt>
                      <c:pt idx="3">
                        <c:v>Heminredning</c:v>
                      </c:pt>
                      <c:pt idx="4">
                        <c:v>Sport</c:v>
                      </c:pt>
                      <c:pt idx="5">
                        <c:v>Elektronik</c:v>
                      </c:pt>
                      <c:pt idx="6">
                        <c:v>Möbler</c:v>
                      </c:pt>
                      <c:pt idx="8">
                        <c:v>Total detaljhandel</c:v>
                      </c:pt>
                      <c:pt idx="9">
                        <c:v>dagligvaror (exkl. systemet</c:v>
                      </c:pt>
                      <c:pt idx="10">
                        <c:v>sällansköpsvaruhandel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Sheet1!$D$3:$D$13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388-4416-A5DC-8F6B5152E087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v-SE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Sheet1!$A$3:$A$13</c15:sqref>
                        </c15:formulaRef>
                      </c:ext>
                    </c:extLst>
                    <c:strCache>
                      <c:ptCount val="11"/>
                      <c:pt idx="0">
                        <c:v>Skor</c:v>
                      </c:pt>
                      <c:pt idx="1">
                        <c:v>Kläder</c:v>
                      </c:pt>
                      <c:pt idx="2">
                        <c:v>Järn &amp; bygg</c:v>
                      </c:pt>
                      <c:pt idx="3">
                        <c:v>Heminredning</c:v>
                      </c:pt>
                      <c:pt idx="4">
                        <c:v>Sport</c:v>
                      </c:pt>
                      <c:pt idx="5">
                        <c:v>Elektronik</c:v>
                      </c:pt>
                      <c:pt idx="6">
                        <c:v>Möbler</c:v>
                      </c:pt>
                      <c:pt idx="8">
                        <c:v>Total detaljhandel</c:v>
                      </c:pt>
                      <c:pt idx="9">
                        <c:v>dagligvaror (exkl. systemet</c:v>
                      </c:pt>
                      <c:pt idx="10">
                        <c:v>sällansköpsvaruhandel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Sheet1!$E$3:$E$13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388-4416-A5DC-8F6B5152E087}"/>
                  </c:ext>
                </c:extLst>
              </c15:ser>
            </c15:filteredBarSeries>
          </c:ext>
        </c:extLst>
      </c:barChart>
      <c:catAx>
        <c:axId val="181741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817412272"/>
        <c:crosses val="autoZero"/>
        <c:auto val="1"/>
        <c:lblAlgn val="ctr"/>
        <c:lblOffset val="100"/>
        <c:noMultiLvlLbl val="0"/>
      </c:catAx>
      <c:valAx>
        <c:axId val="1817412272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81741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Prisnivåindex!$O$36</c:f>
              <c:strCache>
                <c:ptCount val="1"/>
                <c:pt idx="0">
                  <c:v>Skillnad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Prisnivåindex!$N$37:$N$48</c:f>
              <c:strCache>
                <c:ptCount val="12"/>
                <c:pt idx="0">
                  <c:v>Tobak</c:v>
                </c:pt>
                <c:pt idx="1">
                  <c:v>Alkoholhaltiga drycker</c:v>
                </c:pt>
                <c:pt idx="2">
                  <c:v>Mjölk, ost och ägg</c:v>
                </c:pt>
                <c:pt idx="3">
                  <c:v>Övriga livsmedel</c:v>
                </c:pt>
                <c:pt idx="4">
                  <c:v>oljor och fetter</c:v>
                </c:pt>
                <c:pt idx="5">
                  <c:v>Livsmedel</c:v>
                </c:pt>
                <c:pt idx="6">
                  <c:v>Frukt och grönt</c:v>
                </c:pt>
                <c:pt idx="7">
                  <c:v>Alkoholfria drycker</c:v>
                </c:pt>
                <c:pt idx="8">
                  <c:v>Kött</c:v>
                </c:pt>
                <c:pt idx="9">
                  <c:v>Bröd och spannmålsprodukter</c:v>
                </c:pt>
                <c:pt idx="10">
                  <c:v>Skor</c:v>
                </c:pt>
                <c:pt idx="11">
                  <c:v>Fisk</c:v>
                </c:pt>
              </c:strCache>
            </c:strRef>
          </c:cat>
          <c:val>
            <c:numRef>
              <c:f>Prisnivåindex!$O$37:$O$48</c:f>
              <c:numCache>
                <c:formatCode>0%</c:formatCode>
                <c:ptCount val="12"/>
                <c:pt idx="0">
                  <c:v>0.47904191616766501</c:v>
                </c:pt>
                <c:pt idx="1">
                  <c:v>0.37315810434090002</c:v>
                </c:pt>
                <c:pt idx="2">
                  <c:v>0.352173913043478</c:v>
                </c:pt>
                <c:pt idx="3">
                  <c:v>0.30204572803850799</c:v>
                </c:pt>
                <c:pt idx="4">
                  <c:v>0.22911392405063299</c:v>
                </c:pt>
                <c:pt idx="5">
                  <c:v>0.217391304347826</c:v>
                </c:pt>
                <c:pt idx="6">
                  <c:v>0.21056020605280101</c:v>
                </c:pt>
                <c:pt idx="7">
                  <c:v>0.20573566084788</c:v>
                </c:pt>
                <c:pt idx="8">
                  <c:v>0.194139194139194</c:v>
                </c:pt>
                <c:pt idx="9">
                  <c:v>8.6286594761171204E-2</c:v>
                </c:pt>
                <c:pt idx="10">
                  <c:v>2.8522039757994801E-2</c:v>
                </c:pt>
                <c:pt idx="11">
                  <c:v>-9.29118773946358E-2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8-45D4-A47E-6C756F4A95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2947440"/>
        <c:axId val="103303776"/>
      </c:barChart>
      <c:catAx>
        <c:axId val="21294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3303776"/>
        <c:crosses val="autoZero"/>
        <c:auto val="1"/>
        <c:lblAlgn val="ctr"/>
        <c:lblOffset val="100"/>
        <c:noMultiLvlLbl val="0"/>
      </c:catAx>
      <c:valAx>
        <c:axId val="10330377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21294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A40F-4DE9-4260-A16D-535470F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1618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Ekholm</dc:creator>
  <cp:keywords/>
  <dc:description/>
  <cp:lastModifiedBy>Kenneth Odéus</cp:lastModifiedBy>
  <cp:revision>4</cp:revision>
  <dcterms:created xsi:type="dcterms:W3CDTF">2022-03-21T07:00:00Z</dcterms:created>
  <dcterms:modified xsi:type="dcterms:W3CDTF">2022-04-04T08:52:00Z</dcterms:modified>
</cp:coreProperties>
</file>